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5CEA" w14:textId="67323BD8" w:rsidR="00465249" w:rsidRDefault="00826E7E">
      <w:pPr>
        <w:rPr>
          <w:b/>
          <w:bCs/>
        </w:rPr>
      </w:pPr>
      <w:r w:rsidRPr="00826E7E">
        <w:rPr>
          <w:b/>
          <w:bCs/>
        </w:rPr>
        <w:t xml:space="preserve">Determining the efficacy of </w:t>
      </w:r>
      <w:r w:rsidRPr="00826E7E">
        <w:rPr>
          <w:b/>
          <w:bCs/>
          <w:i/>
          <w:iCs/>
        </w:rPr>
        <w:t xml:space="preserve">Pseudomonas putida </w:t>
      </w:r>
      <w:r w:rsidRPr="00826E7E">
        <w:rPr>
          <w:b/>
          <w:bCs/>
        </w:rPr>
        <w:t xml:space="preserve">to degrade hexadecane in </w:t>
      </w:r>
      <w:r>
        <w:rPr>
          <w:b/>
          <w:bCs/>
        </w:rPr>
        <w:t>soils at different moisture levels</w:t>
      </w:r>
    </w:p>
    <w:p w14:paraId="623C2EAA" w14:textId="16F79390" w:rsidR="00735EBE" w:rsidRDefault="00826E7E">
      <w:r>
        <w:t>Jacob Pollard</w:t>
      </w:r>
    </w:p>
    <w:p w14:paraId="73FD7391" w14:textId="77777777" w:rsidR="000B36D5" w:rsidRDefault="000B36D5" w:rsidP="00735EBE"/>
    <w:p w14:paraId="77D6F487" w14:textId="254F730D" w:rsidR="00735EBE" w:rsidRDefault="00735EBE" w:rsidP="00735EBE">
      <w:pPr>
        <w:rPr>
          <w:b/>
          <w:bCs/>
        </w:rPr>
      </w:pPr>
      <w:r>
        <w:rPr>
          <w:b/>
          <w:bCs/>
        </w:rPr>
        <w:t>Methods</w:t>
      </w:r>
    </w:p>
    <w:p w14:paraId="573D23D7" w14:textId="1FE190D7" w:rsidR="00F929A5" w:rsidRDefault="00F929A5" w:rsidP="00F929A5">
      <w:r>
        <w:t>Eight samples of 50</w:t>
      </w:r>
      <w:r>
        <w:rPr>
          <w:rFonts w:ascii="Arial" w:hAnsi="Arial" w:cs="Arial"/>
        </w:rPr>
        <w:t> </w:t>
      </w:r>
      <w:r>
        <w:t>g (dry weight) of clean, sterilised soil were prepared. Hexadecane (0.25</w:t>
      </w:r>
      <w:r>
        <w:rPr>
          <w:rFonts w:ascii="Arial" w:hAnsi="Arial" w:cs="Arial"/>
        </w:rPr>
        <w:t> </w:t>
      </w:r>
      <w:r>
        <w:t>g) was added to four of the samples, and the flasks were vigorously shaken to ensure even distribution of the hydrocarbon throughout the soil, achieving a final concentration of 0.5% w/w (based on dry soil weight)</w:t>
      </w:r>
      <w:r>
        <w:t xml:space="preserve">. </w:t>
      </w:r>
      <w:r>
        <w:t>All flasks were then inoculated with 1</w:t>
      </w:r>
      <w:r>
        <w:rPr>
          <w:rFonts w:ascii="Arial" w:hAnsi="Arial" w:cs="Arial"/>
        </w:rPr>
        <w:t> </w:t>
      </w:r>
      <w:r>
        <w:t>mL of Pseudomonas putida suspension at a concentration of 2.5</w:t>
      </w:r>
      <w:r>
        <w:rPr>
          <w:rFonts w:ascii="Arial" w:hAnsi="Arial" w:cs="Arial"/>
        </w:rPr>
        <w:t> </w:t>
      </w:r>
      <w:r>
        <w:t>×</w:t>
      </w:r>
      <w:r>
        <w:rPr>
          <w:rFonts w:ascii="Arial" w:hAnsi="Arial" w:cs="Arial"/>
        </w:rPr>
        <w:t> </w:t>
      </w:r>
      <w:r>
        <w:t>10⁶ CFU</w:t>
      </w:r>
      <w:r>
        <w:rPr>
          <w:rFonts w:ascii="Arial" w:hAnsi="Arial" w:cs="Arial"/>
        </w:rPr>
        <w:t> </w:t>
      </w:r>
      <w:r>
        <w:t>g</w:t>
      </w:r>
      <w:r>
        <w:rPr>
          <w:rFonts w:ascii="Cambria Math" w:hAnsi="Cambria Math" w:cs="Cambria Math"/>
        </w:rPr>
        <w:t>⁻</w:t>
      </w:r>
      <w:r>
        <w:t>¹ dry soil, as calculated post-incubation. Each soil sample was supplemented with 6.11</w:t>
      </w:r>
      <w:r>
        <w:rPr>
          <w:rFonts w:ascii="Arial" w:hAnsi="Arial" w:cs="Arial"/>
        </w:rPr>
        <w:t> </w:t>
      </w:r>
      <w:r>
        <w:t>mL, 8.15</w:t>
      </w:r>
      <w:r>
        <w:rPr>
          <w:rFonts w:ascii="Arial" w:hAnsi="Arial" w:cs="Arial"/>
        </w:rPr>
        <w:t> </w:t>
      </w:r>
      <w:r>
        <w:t>mL, 10.19</w:t>
      </w:r>
      <w:r>
        <w:rPr>
          <w:rFonts w:ascii="Arial" w:hAnsi="Arial" w:cs="Arial"/>
        </w:rPr>
        <w:t> </w:t>
      </w:r>
      <w:r>
        <w:t>mL, or 12.23</w:t>
      </w:r>
      <w:r>
        <w:rPr>
          <w:rFonts w:ascii="Arial" w:hAnsi="Arial" w:cs="Arial"/>
        </w:rPr>
        <w:t> </w:t>
      </w:r>
      <w:r>
        <w:t>mL of sterile water to create final soil moisture levels of 30%, 40%, 50%, and 60%, respectively — with and without hexadecane, forming eight treatment groups in total.</w:t>
      </w:r>
      <w:r>
        <w:t xml:space="preserve"> </w:t>
      </w:r>
      <w:r>
        <w:t>Under aseptic conditions, 24 Eppendorf tubes were each prepared with 900</w:t>
      </w:r>
      <w:r>
        <w:rPr>
          <w:rFonts w:ascii="Arial" w:hAnsi="Arial" w:cs="Arial"/>
        </w:rPr>
        <w:t> </w:t>
      </w:r>
      <w:r>
        <w:t>µL of sterile ¼-strength Ringer's solution.</w:t>
      </w:r>
      <w:r>
        <w:t xml:space="preserve"> </w:t>
      </w:r>
      <w:r>
        <w:t>To eight universal bottles, 9.98</w:t>
      </w:r>
      <w:r>
        <w:rPr>
          <w:rFonts w:ascii="Arial" w:hAnsi="Arial" w:cs="Arial"/>
        </w:rPr>
        <w:t> </w:t>
      </w:r>
      <w:r>
        <w:t>mL of ¼-strength Ringer's solution was added, followed by 120</w:t>
      </w:r>
      <w:r>
        <w:rPr>
          <w:rFonts w:ascii="Arial" w:hAnsi="Arial" w:cs="Arial"/>
        </w:rPr>
        <w:t> </w:t>
      </w:r>
      <w:r>
        <w:t>mg of soil from each treatment. Bottles were shaken vigorously by hand for 1 minute to produce a 10</w:t>
      </w:r>
      <w:r>
        <w:rPr>
          <w:rFonts w:ascii="Cambria Math" w:hAnsi="Cambria Math" w:cs="Cambria Math"/>
        </w:rPr>
        <w:t>⁻</w:t>
      </w:r>
      <w:r>
        <w:t>² soil suspension.</w:t>
      </w:r>
      <w:r>
        <w:t xml:space="preserve"> </w:t>
      </w:r>
      <w:r>
        <w:t>From each universal bottle, 100</w:t>
      </w:r>
      <w:r>
        <w:rPr>
          <w:rFonts w:ascii="Arial" w:hAnsi="Arial" w:cs="Arial"/>
        </w:rPr>
        <w:t> </w:t>
      </w:r>
      <w:r>
        <w:t>µL of the 10</w:t>
      </w:r>
      <w:r>
        <w:rPr>
          <w:rFonts w:ascii="Cambria Math" w:hAnsi="Cambria Math" w:cs="Cambria Math"/>
        </w:rPr>
        <w:t>⁻</w:t>
      </w:r>
      <w:r>
        <w:t>² suspension was transferred to the corresponding Eppendorf and vortexed to produce a 10</w:t>
      </w:r>
      <w:r>
        <w:rPr>
          <w:rFonts w:ascii="Cambria Math" w:hAnsi="Cambria Math" w:cs="Cambria Math"/>
        </w:rPr>
        <w:t>⁻</w:t>
      </w:r>
      <w:r>
        <w:t>³ dilution. Serial dilutions were then performed to obtain 10</w:t>
      </w:r>
      <w:r>
        <w:rPr>
          <w:rFonts w:ascii="Cambria Math" w:hAnsi="Cambria Math" w:cs="Cambria Math"/>
        </w:rPr>
        <w:t>⁻</w:t>
      </w:r>
      <w:r>
        <w:t>⁴, 10</w:t>
      </w:r>
      <w:r>
        <w:rPr>
          <w:rFonts w:ascii="Cambria Math" w:hAnsi="Cambria Math" w:cs="Cambria Math"/>
        </w:rPr>
        <w:t>⁻</w:t>
      </w:r>
      <w:r>
        <w:t>⁵, and 10</w:t>
      </w:r>
      <w:r>
        <w:rPr>
          <w:rFonts w:ascii="Cambria Math" w:hAnsi="Cambria Math" w:cs="Cambria Math"/>
        </w:rPr>
        <w:t>⁻</w:t>
      </w:r>
      <w:r>
        <w:t>⁶ suspensions.</w:t>
      </w:r>
      <w:r>
        <w:t xml:space="preserve"> </w:t>
      </w:r>
      <w:r>
        <w:t>Spot plates were prepared, with quadruplicate spots for each dilution. Plates were incubated at 25</w:t>
      </w:r>
      <w:r>
        <w:rPr>
          <w:rFonts w:ascii="Arial" w:hAnsi="Arial" w:cs="Arial"/>
        </w:rPr>
        <w:t> </w:t>
      </w:r>
      <w:r>
        <w:t>°C for 24 hours, after which colony counts were recorded.</w:t>
      </w:r>
    </w:p>
    <w:p w14:paraId="18FDB20C" w14:textId="0070FA67" w:rsidR="000B520C" w:rsidRDefault="00F929A5" w:rsidP="008E3343">
      <w:r>
        <w:t>The entire procedure was repeated three times.</w:t>
      </w:r>
      <w:r>
        <w:t xml:space="preserve"> </w:t>
      </w:r>
      <w:r>
        <w:t>Statistical analysis was performed using the Scheirer-Ray-Hare test, followed by post hoc Dunn's tests, treating each spot as a replicate.</w:t>
      </w:r>
      <w:r w:rsidR="008E3343">
        <w:t xml:space="preserve"> </w:t>
      </w:r>
      <w:r w:rsidR="008E3343" w:rsidRPr="008E3343">
        <w:t xml:space="preserve">To confirm the identity of the bacterial growth as </w:t>
      </w:r>
      <w:r w:rsidR="008E3343" w:rsidRPr="008E3343">
        <w:rPr>
          <w:i/>
          <w:iCs/>
        </w:rPr>
        <w:t>Pseudomonas putida</w:t>
      </w:r>
      <w:r w:rsidR="008E3343" w:rsidRPr="008E3343">
        <w:t xml:space="preserve">, a combination of diagnostic methods </w:t>
      </w:r>
      <w:r w:rsidR="008E3343">
        <w:t>was used</w:t>
      </w:r>
      <w:r w:rsidR="008E3343" w:rsidRPr="008E3343">
        <w:t>. These included oxidase testing using oxidase reagent strips, light microscopy, culturing on selective media, and gel electrophoresis. All procedures were carried out in accordance with the BABS2 Soil Microbiology Strand – Hydrocarbon Degrader Practicals: Practical 1a protocol (University of York, 2025).</w:t>
      </w:r>
    </w:p>
    <w:p w14:paraId="522A6E4A" w14:textId="77777777" w:rsidR="000B520C" w:rsidRDefault="000B520C" w:rsidP="00735EBE"/>
    <w:p w14:paraId="6AAA85BD" w14:textId="77777777" w:rsidR="000B520C" w:rsidRDefault="000B520C" w:rsidP="00735EBE"/>
    <w:p w14:paraId="7534A338" w14:textId="77777777" w:rsidR="000B520C" w:rsidRDefault="000B520C" w:rsidP="00735EBE"/>
    <w:p w14:paraId="1EAF1881" w14:textId="77777777" w:rsidR="000B520C" w:rsidRDefault="000B520C" w:rsidP="00735EBE"/>
    <w:p w14:paraId="7E8873F5" w14:textId="77777777" w:rsidR="000B520C" w:rsidRDefault="000B520C" w:rsidP="00735EBE"/>
    <w:p w14:paraId="42403304" w14:textId="77777777" w:rsidR="000B520C" w:rsidRDefault="000B520C" w:rsidP="00735EBE"/>
    <w:p w14:paraId="3CB16B42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Hypotheses</w:t>
      </w:r>
    </w:p>
    <w:p w14:paraId="7D6CAA00" w14:textId="77777777" w:rsidR="00735EBE" w:rsidRDefault="00735EBE" w:rsidP="00735EBE">
      <w:pPr>
        <w:pStyle w:val="ListParagraph"/>
        <w:numPr>
          <w:ilvl w:val="0"/>
          <w:numId w:val="1"/>
        </w:numPr>
      </w:pPr>
      <w:r w:rsidRPr="00B12CB6">
        <w:rPr>
          <w:i/>
          <w:iCs/>
        </w:rPr>
        <w:t>P. putida</w:t>
      </w:r>
      <w:r>
        <w:t xml:space="preserve"> can degrade hydrocarbons and utilise them as a carbon source, so without any other carbon sources, there will be significantly more CFUs per unit volume in the hydrocarbon-contaminated samples than the non-hydrocarbon-contaminated samples at the same moisture level.</w:t>
      </w:r>
    </w:p>
    <w:p w14:paraId="4CC2B8D6" w14:textId="77777777" w:rsidR="00735EBE" w:rsidRDefault="00735EBE" w:rsidP="00735EBE">
      <w:pPr>
        <w:pStyle w:val="ListParagraph"/>
        <w:numPr>
          <w:ilvl w:val="0"/>
          <w:numId w:val="1"/>
        </w:numPr>
      </w:pPr>
      <w:r>
        <w:t xml:space="preserve">Previous research suggests that </w:t>
      </w:r>
      <w:r>
        <w:rPr>
          <w:i/>
          <w:iCs/>
        </w:rPr>
        <w:t>P. putida</w:t>
      </w:r>
      <w:r>
        <w:t xml:space="preserve"> degrades hydrocarbons and proliferates at optimum soil moisture levels of 40% field capacity, so there will be significant differences between samples at different moisture levels, with the greatest colony count at 40%.</w:t>
      </w:r>
    </w:p>
    <w:p w14:paraId="6539C6E0" w14:textId="77777777" w:rsidR="00735EBE" w:rsidRDefault="00735EBE" w:rsidP="00735EBE"/>
    <w:p w14:paraId="748F771C" w14:textId="77777777" w:rsidR="00735EBE" w:rsidRDefault="00735EBE" w:rsidP="00735EBE"/>
    <w:p w14:paraId="3ED9510D" w14:textId="77777777" w:rsidR="00735EBE" w:rsidRDefault="00735EBE" w:rsidP="00735EBE">
      <w:pPr>
        <w:rPr>
          <w:b/>
          <w:bCs/>
        </w:rPr>
      </w:pPr>
      <w:r>
        <w:rPr>
          <w:b/>
          <w:bCs/>
        </w:rPr>
        <w:lastRenderedPageBreak/>
        <w:t>Reason</w:t>
      </w:r>
    </w:p>
    <w:p w14:paraId="32073E82" w14:textId="77777777" w:rsidR="00735EBE" w:rsidRPr="006E44B9" w:rsidRDefault="00735EBE" w:rsidP="00735EBE">
      <w:pPr>
        <w:ind w:left="1440" w:hanging="1440"/>
      </w:pPr>
      <w:r>
        <w:t xml:space="preserve">Previous research demonstrated that select strains of </w:t>
      </w:r>
      <w:r>
        <w:rPr>
          <w:i/>
          <w:iCs/>
        </w:rPr>
        <w:t>P. putida</w:t>
      </w:r>
      <w:r>
        <w:t xml:space="preserve"> degrade naphthalene, a polycyclic unsaturated aromatic hydrocarbon, at an optimum soil moisture level of ~40%. However, aromatics only make up ~15%wt of liquid petroleum oil spills, with alkanes and </w:t>
      </w:r>
      <w:proofErr w:type="spellStart"/>
      <w:r>
        <w:t>naphthenes</w:t>
      </w:r>
      <w:proofErr w:type="spellEnd"/>
      <w:r>
        <w:t xml:space="preserve"> making up 30% and 49%, respectively. Knowing how </w:t>
      </w:r>
      <w:r>
        <w:rPr>
          <w:i/>
          <w:iCs/>
        </w:rPr>
        <w:t xml:space="preserve">P. putida </w:t>
      </w:r>
      <w:r>
        <w:t>can bioremediate saturated hydrocarbons- including hexadecane- at varying soil moisture levels will aid in understanding the bacteria’s potential to deal with oil spills in a variety of climates with varying humidities.</w:t>
      </w:r>
    </w:p>
    <w:p w14:paraId="5AF5D273" w14:textId="77777777" w:rsidR="00735EBE" w:rsidRDefault="00735EBE" w:rsidP="00735EBE"/>
    <w:p w14:paraId="23975BB9" w14:textId="77777777" w:rsidR="00735EBE" w:rsidRDefault="00735EBE" w:rsidP="00735EBE">
      <w:pPr>
        <w:rPr>
          <w:b/>
          <w:bCs/>
        </w:rPr>
      </w:pPr>
      <w:r>
        <w:rPr>
          <w:b/>
          <w:bCs/>
        </w:rPr>
        <w:t>Aim</w:t>
      </w:r>
    </w:p>
    <w:p w14:paraId="00A688CD" w14:textId="77777777" w:rsidR="00735EBE" w:rsidRPr="000234E7" w:rsidRDefault="00735EBE" w:rsidP="00735EBE">
      <w:r>
        <w:t>Obtain count of CFUs per gram of soil for samples with and without hexadecane contamination, at 30, 40, 50, and 60 % of field capacity, with sample size of 18 for each sample.</w:t>
      </w:r>
    </w:p>
    <w:p w14:paraId="69C4C473" w14:textId="77777777" w:rsidR="00735EBE" w:rsidRDefault="00735EBE" w:rsidP="00735EBE"/>
    <w:p w14:paraId="02561186" w14:textId="77777777" w:rsidR="00735EBE" w:rsidRPr="00826E7E" w:rsidRDefault="00735EBE" w:rsidP="00735EBE"/>
    <w:sectPr w:rsidR="00735EBE" w:rsidRPr="0082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7B87"/>
    <w:multiLevelType w:val="hybridMultilevel"/>
    <w:tmpl w:val="341EBE34"/>
    <w:lvl w:ilvl="0" w:tplc="BEB011E8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7E"/>
    <w:rsid w:val="00094E08"/>
    <w:rsid w:val="000B36D5"/>
    <w:rsid w:val="000B520C"/>
    <w:rsid w:val="003C2A06"/>
    <w:rsid w:val="00465249"/>
    <w:rsid w:val="00735EBE"/>
    <w:rsid w:val="00792460"/>
    <w:rsid w:val="00826E7E"/>
    <w:rsid w:val="008E3343"/>
    <w:rsid w:val="00A52370"/>
    <w:rsid w:val="00A92311"/>
    <w:rsid w:val="00B276AB"/>
    <w:rsid w:val="00C15AE8"/>
    <w:rsid w:val="00D13B8B"/>
    <w:rsid w:val="00DA3A3C"/>
    <w:rsid w:val="00F929A5"/>
    <w:rsid w:val="00F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93907"/>
  <w15:chartTrackingRefBased/>
  <w15:docId w15:val="{DC127C31-518F-F740-93A2-39FDABE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Pollard</dc:creator>
  <cp:keywords/>
  <dc:description/>
  <cp:lastModifiedBy>Jacob Pollard</cp:lastModifiedBy>
  <cp:revision>6</cp:revision>
  <dcterms:created xsi:type="dcterms:W3CDTF">2025-04-12T17:24:00Z</dcterms:created>
  <dcterms:modified xsi:type="dcterms:W3CDTF">2025-04-13T12:20:00Z</dcterms:modified>
</cp:coreProperties>
</file>