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3A5C"/>
          <w:sz w:val="48"/>
          <w:szCs w:val="48"/>
        </w:rPr>
        <w:t xml:space="preserve">Circuit Trajectory Latent Space (CTLS)</w:t>
      </w:r>
    </w:p>
    <w:p>
      <w:pPr>
        <w:spacing w:after="80"/>
        <w:jc w:val="center"/>
      </w:pPr>
      <w:r>
        <w:rPr>
          <w:rFonts w:ascii="Arial" w:cs="Arial" w:eastAsia="Arial" w:hAnsi="Arial"/>
          <w:i/>
          <w:iCs/>
          <w:color w:val="555555"/>
          <w:sz w:val="28"/>
          <w:szCs w:val="28"/>
        </w:rPr>
        <w:t xml:space="preserve">Training Neural Networks to Be Interpretable By Design</w:t>
      </w:r>
    </w:p>
    <w:p>
      <w:pPr>
        <w:spacing w:after="400"/>
        <w:jc w:val="center"/>
      </w:pPr>
      <w:r>
        <w:rPr>
          <w:rFonts w:ascii="Arial" w:cs="Arial" w:eastAsia="Arial" w:hAnsi="Arial"/>
          <w:color w:val="888888"/>
          <w:sz w:val="22"/>
          <w:szCs w:val="22"/>
        </w:rPr>
        <w:t xml:space="preserve">Research Synthesis — March 2026</w:t>
      </w:r>
    </w:p>
    <w:p>
      <w:pPr>
        <w:pStyle w:val="Heading1"/>
      </w:pPr>
      <w:r>
        <w:rPr>
          <w:rFonts w:ascii="Arial" w:cs="Arial" w:eastAsia="Arial" w:hAnsi="Arial"/>
          <w:b/>
          <w:bCs/>
          <w:sz w:val="32"/>
          <w:szCs w:val="32"/>
        </w:rPr>
        <w:t xml:space="preserve">1. Core Idea in Plain Language</w:t>
      </w:r>
    </w:p>
    <w:p>
      <w:pPr>
        <w:spacing w:after="160"/>
      </w:pPr>
      <w:r>
        <w:rPr>
          <w:rFonts w:ascii="Arial" w:cs="Arial" w:eastAsia="Arial" w:hAnsi="Arial"/>
          <w:sz w:val="22"/>
          <w:szCs w:val="22"/>
        </w:rPr>
        <w:t xml:space="preserve">Most interpretability research asks: 'how do we understand what a trained model learned?' This project asks something fundamentally different: 'what if the model was trained to be understandable in the first place?'</w:t>
      </w:r>
    </w:p>
    <w:p>
      <w:pPr>
        <w:spacing w:after="160"/>
      </w:pPr>
      <w:r>
        <w:rPr>
          <w:rFonts w:ascii="Arial" w:cs="Arial" w:eastAsia="Arial" w:hAnsi="Arial"/>
          <w:sz w:val="22"/>
          <w:szCs w:val="22"/>
        </w:rPr>
        <w:t xml:space="preserve">The central mechanism is this: during training, instead of only caring about the model's final output, we also track the activation patterns across every intermediate layer — the population-level firing patterns that constitute the model's internal 'circuit' for processing each input. These multi-layer activation trajectories are embedded into a shared latent space. A consistency loss then enforces that semantically similar inputs produce similar trajectories in that space, while semantically different inputs remain well-separated.</w:t>
      </w:r>
    </w:p>
    <w:p>
      <w:pPr>
        <w:spacing w:after="160"/>
      </w:pPr>
      <w:r>
        <w:rPr>
          <w:rFonts w:ascii="Arial" w:cs="Arial" w:eastAsia="Arial" w:hAnsi="Arial"/>
          <w:sz w:val="22"/>
          <w:szCs w:val="22"/>
        </w:rPr>
        <w:t xml:space="preserve">The result is a model whose internal reasoning pathways are not just discovered after the fact, but actively shaped during training to be consistent, structured, and human-legible.</w:t>
      </w:r>
    </w:p>
    <w:p>
      <w:r>
        <w:t xml:space="preserve"/>
      </w:r>
    </w:p>
    <w:p>
      <w:pPr>
        <w:pStyle w:val="Heading1"/>
      </w:pPr>
      <w:r>
        <w:rPr>
          <w:rFonts w:ascii="Arial" w:cs="Arial" w:eastAsia="Arial" w:hAnsi="Arial"/>
          <w:b/>
          <w:bCs/>
          <w:sz w:val="32"/>
          <w:szCs w:val="32"/>
        </w:rPr>
        <w:t xml:space="preserve">2. Motivation: The Post-Hoc Problem</w:t>
      </w:r>
    </w:p>
    <w:p>
      <w:pPr>
        <w:spacing w:after="160"/>
      </w:pPr>
      <w:r>
        <w:rPr>
          <w:rFonts w:ascii="Arial" w:cs="Arial" w:eastAsia="Arial" w:hAnsi="Arial"/>
          <w:sz w:val="22"/>
          <w:szCs w:val="22"/>
        </w:rPr>
        <w:t xml:space="preserve">Current interpretability methods — Sparse Autoencoders (SAEs), probing classifiers, Centered Kernel Alignment (CKA), attention visualization — are all post-hoc. They treat a trained model as an archaeological artifact to be reverse-engineered. This creates several fundamental problems:</w:t>
      </w:r>
    </w:p>
    <w:p>
      <w:pPr>
        <w:pStyle w:val="ListParagraph"/>
        <w:numPr>
          <w:ilvl w:val="0"/>
          <w:numId w:val="2"/>
        </w:numPr>
        <w:spacing w:after="100"/>
      </w:pPr>
      <w:r>
        <w:rPr>
          <w:rFonts w:ascii="Arial" w:cs="Arial" w:eastAsia="Arial" w:hAnsi="Arial"/>
          <w:sz w:val="22"/>
          <w:szCs w:val="22"/>
        </w:rPr>
        <w:t xml:space="preserve">Faithfulness gap: Post-hoc explanations often do not accurately reflect the model's actual computational process. They explain what we can see, not necessarily what the model is doing.</w:t>
      </w:r>
    </w:p>
    <w:p>
      <w:pPr>
        <w:pStyle w:val="ListParagraph"/>
        <w:numPr>
          <w:ilvl w:val="0"/>
          <w:numId w:val="2"/>
        </w:numPr>
        <w:spacing w:after="100"/>
      </w:pPr>
      <w:r>
        <w:rPr>
          <w:rFonts w:ascii="Arial" w:cs="Arial" w:eastAsia="Arial" w:hAnsi="Arial"/>
          <w:sz w:val="22"/>
          <w:szCs w:val="22"/>
        </w:rPr>
        <w:t xml:space="preserve">Spurious circuits: Because circuits are discovered rather than enforced, the same model may use entirely different internal pathways for semantically identical inputs, making explanations unstable and unreliable.</w:t>
      </w:r>
    </w:p>
    <w:p>
      <w:pPr>
        <w:pStyle w:val="ListParagraph"/>
        <w:numPr>
          <w:ilvl w:val="0"/>
          <w:numId w:val="2"/>
        </w:numPr>
        <w:spacing w:after="100"/>
      </w:pPr>
      <w:r>
        <w:rPr>
          <w:rFonts w:ascii="Arial" w:cs="Arial" w:eastAsia="Arial" w:hAnsi="Arial"/>
          <w:sz w:val="22"/>
          <w:szCs w:val="22"/>
        </w:rPr>
        <w:t xml:space="preserve">No feedback loop: Post-hoc analysis cannot change how the model computes. It can only describe it. There is no mechanism for using interpretability insights to make the model more interpretable.</w:t>
      </w:r>
    </w:p>
    <w:p>
      <w:r>
        <w:t xml:space="preserve"/>
      </w:r>
    </w:p>
    <w:p>
      <w:pPr>
        <w:spacing w:after="160"/>
      </w:pPr>
      <w:r>
        <w:rPr>
          <w:rFonts w:ascii="Arial" w:cs="Arial" w:eastAsia="Arial" w:hAnsi="Arial"/>
          <w:sz w:val="22"/>
          <w:szCs w:val="22"/>
        </w:rPr>
        <w:t xml:space="preserve">This project treats interpretability as a design constraint rather than an analysis tool. The model is not just trained to produce correct outputs — it is trained to produce correct outputs via consistent, structured internal pathways.</w:t>
      </w:r>
    </w:p>
    <w:p>
      <w:r>
        <w:t xml:space="preserve"/>
      </w:r>
    </w:p>
    <w:p>
      <w:pPr>
        <w:pStyle w:val="Heading1"/>
      </w:pPr>
      <w:r>
        <w:rPr>
          <w:rFonts w:ascii="Arial" w:cs="Arial" w:eastAsia="Arial" w:hAnsi="Arial"/>
          <w:b/>
          <w:bCs/>
          <w:sz w:val="32"/>
          <w:szCs w:val="32"/>
        </w:rPr>
        <w:t xml:space="preserve">3. The Biological Motivation</w:t>
      </w:r>
    </w:p>
    <w:p>
      <w:pPr>
        <w:spacing w:after="160"/>
      </w:pPr>
      <w:r>
        <w:rPr>
          <w:rFonts w:ascii="Arial" w:cs="Arial" w:eastAsia="Arial" w:hAnsi="Arial"/>
          <w:sz w:val="22"/>
          <w:szCs w:val="22"/>
        </w:rPr>
        <w:t xml:space="preserve">The inspiration for population-level circuit analysis comes directly from systems neuroscience. The brain does not encode information in single neurons — individual neurons are noisy, unreliable, and often respond to multiple unrelated stimuli. Instead, information is encoded in population dynamics: the specific pattern of co-activation across many neurons simultaneously.</w:t>
      </w:r>
    </w:p>
    <w:p>
      <w:pPr>
        <w:spacing w:after="160"/>
      </w:pPr>
      <w:r>
        <w:rPr>
          <w:rFonts w:ascii="Arial" w:cs="Arial" w:eastAsia="Arial" w:hAnsi="Arial"/>
          <w:sz w:val="22"/>
          <w:szCs w:val="22"/>
        </w:rPr>
        <w:t xml:space="preserve">This is why neuroscientists use dimensionality reduction tools like PCA, UMAP, and trajectory analysis on population recordings rather than analyzing individual neurons in isolation. A concept like 'the animal is running' is not stored in one place — it is a trajectory through neural population space.</w:t>
      </w:r>
    </w:p>
    <w:p>
      <w:pPr>
        <w:spacing w:after="160"/>
      </w:pPr>
      <w:r>
        <w:rPr>
          <w:rFonts w:ascii="Arial" w:cs="Arial" w:eastAsia="Arial" w:hAnsi="Arial"/>
          <w:sz w:val="22"/>
          <w:szCs w:val="22"/>
        </w:rPr>
        <w:t xml:space="preserve">The key insight this project borrows from neuroscience is that the representational space of population patterns is exponentially larger than the space of individual neuron activations. With N neurons you have N dimensions if you study neurons in isolation, but approximately 2^N possible population patterns. This enormous representational capacity means you can store many distinct, non-overlapping circuits without the compression artifacts that arise when you try to encode everything into individual neurons.</w:t>
      </w:r>
    </w:p>
    <w:p>
      <w:pPr>
        <w:spacing w:after="160"/>
      </w:pPr>
      <w:r>
        <w:rPr>
          <w:rFonts w:ascii="Arial" w:cs="Arial" w:eastAsia="Arial" w:hAnsi="Arial"/>
          <w:sz w:val="22"/>
          <w:szCs w:val="22"/>
        </w:rPr>
        <w:t xml:space="preserve">This directly weakens the superposition problem that plagues neuron-level interpretability: the model does not need to cheat by overlapping concepts in single neurons when it has vast population space to work with.</w:t>
      </w:r>
    </w:p>
    <w:p>
      <w:r>
        <w:t xml:space="preserve"/>
      </w:r>
    </w:p>
    <w:p>
      <w:pPr>
        <w:pStyle w:val="Heading1"/>
      </w:pPr>
      <w:r>
        <w:rPr>
          <w:rFonts w:ascii="Arial" w:cs="Arial" w:eastAsia="Arial" w:hAnsi="Arial"/>
          <w:b/>
          <w:bCs/>
          <w:sz w:val="32"/>
          <w:szCs w:val="32"/>
        </w:rPr>
        <w:t xml:space="preserve">4. Technical Architecture</w:t>
      </w:r>
    </w:p>
    <w:p>
      <w:pPr>
        <w:pStyle w:val="Heading2"/>
      </w:pPr>
      <w:r>
        <w:rPr>
          <w:rFonts w:ascii="Arial" w:cs="Arial" w:eastAsia="Arial" w:hAnsi="Arial"/>
          <w:b/>
          <w:bCs/>
          <w:sz w:val="26"/>
          <w:szCs w:val="26"/>
        </w:rPr>
        <w:t xml:space="preserve">4.1 What Is a Circuit Here?</w:t>
      </w:r>
    </w:p>
    <w:p>
      <w:pPr>
        <w:spacing w:after="160"/>
      </w:pPr>
      <w:r>
        <w:rPr>
          <w:rFonts w:ascii="Arial" w:cs="Arial" w:eastAsia="Arial" w:hAnsi="Arial"/>
          <w:sz w:val="22"/>
          <w:szCs w:val="22"/>
        </w:rPr>
        <w:t xml:space="preserve">A circuit is defined as the full activation trajectory of an input through the model: the population-level activation pattern at every layer from input to output. Formally, for input x and a model with L layers:</w:t>
      </w:r>
    </w:p>
    <w:p>
      <w:pPr>
        <w:spacing w:after="160"/>
        <w:jc w:val="center"/>
      </w:pPr>
      <w:r>
        <w:rPr>
          <w:rFonts w:ascii="Courier New" w:cs="Courier New" w:eastAsia="Courier New" w:hAnsi="Courier New"/>
          <w:b/>
          <w:bCs/>
          <w:sz w:val="22"/>
          <w:szCs w:val="22"/>
        </w:rPr>
        <w:t xml:space="preserve">T(x) = (h₁(x), h₂(x), ..., h_L(x))</w:t>
      </w:r>
    </w:p>
    <w:p>
      <w:pPr>
        <w:spacing w:after="160"/>
      </w:pPr>
      <w:r>
        <w:rPr>
          <w:rFonts w:ascii="Arial" w:cs="Arial" w:eastAsia="Arial" w:hAnsi="Arial"/>
          <w:sz w:val="22"/>
          <w:szCs w:val="22"/>
        </w:rPr>
        <w:t xml:space="preserve">where h_l(x) is the vector of activations at layer l. This is not a binary mask of 'active vs inactive' neurons, nor is it a single-layer snapshot. It is the full trajectory through the model's representational space — the path the computation takes, not just where it ends up.</w:t>
      </w:r>
    </w:p>
    <w:p>
      <w:r>
        <w:t xml:space="preserve"/>
      </w:r>
    </w:p>
    <w:p>
      <w:pPr>
        <w:pStyle w:val="Heading2"/>
      </w:pPr>
      <w:r>
        <w:rPr>
          <w:rFonts w:ascii="Arial" w:cs="Arial" w:eastAsia="Arial" w:hAnsi="Arial"/>
          <w:b/>
          <w:bCs/>
          <w:sz w:val="26"/>
          <w:szCs w:val="26"/>
        </w:rPr>
        <w:t xml:space="preserve">4.2 The Circuit Latent Space Encoder</w:t>
      </w:r>
    </w:p>
    <w:p>
      <w:pPr>
        <w:spacing w:after="160"/>
      </w:pPr>
      <w:r>
        <w:rPr>
          <w:rFonts w:ascii="Arial" w:cs="Arial" w:eastAsia="Arial" w:hAnsi="Arial"/>
          <w:sz w:val="22"/>
          <w:szCs w:val="22"/>
        </w:rPr>
        <w:t xml:space="preserve">A lightweight meta-encoder E takes the full trajectory T(x) as input and produces a compact circuit embedding z:</w:t>
      </w:r>
    </w:p>
    <w:p>
      <w:pPr>
        <w:spacing w:after="160"/>
        <w:jc w:val="center"/>
      </w:pPr>
      <w:r>
        <w:rPr>
          <w:rFonts w:ascii="Courier New" w:cs="Courier New" w:eastAsia="Courier New" w:hAnsi="Courier New"/>
          <w:b/>
          <w:bCs/>
          <w:sz w:val="22"/>
          <w:szCs w:val="22"/>
        </w:rPr>
        <w:t xml:space="preserve">z = E(T(x)) = E(h₁(x), h₂(x), ..., h_L(x))</w:t>
      </w:r>
    </w:p>
    <w:p>
      <w:pPr>
        <w:spacing w:after="160"/>
      </w:pPr>
      <w:r>
        <w:rPr>
          <w:rFonts w:ascii="Arial" w:cs="Arial" w:eastAsia="Arial" w:hAnsi="Arial"/>
          <w:sz w:val="22"/>
          <w:szCs w:val="22"/>
        </w:rPr>
        <w:t xml:space="preserve">The meta-encoder is kept deliberately small — a 2-3 layer MLP or a small transformer over the layer sequence. Its job is not to be powerful; it is to compress the trajectory into a space where geometric distances are semantically meaningful. Same-category inputs should be nearby in this space. Different-category inputs should be far apart.</w:t>
      </w:r>
    </w:p>
    <w:p>
      <w:pPr>
        <w:spacing w:after="160"/>
      </w:pPr>
      <w:r>
        <w:rPr>
          <w:rFonts w:ascii="Arial" w:cs="Arial" w:eastAsia="Arial" w:hAnsi="Arial"/>
          <w:sz w:val="22"/>
          <w:szCs w:val="22"/>
        </w:rPr>
        <w:t xml:space="preserve">Critically, this latent space is different from the model's output embedding space. The output embedding is a single endpoint — it captures what the model concluded. The circuit latent space captures the trajectory — how the model reasoned its way there. Two inputs can produce identical output embeddings while having taken entirely different internal routes, and the circuit latent space would capture that difference.</w:t>
      </w:r>
    </w:p>
    <w:p>
      <w:r>
        <w:t xml:space="preserve"/>
      </w:r>
    </w:p>
    <w:p>
      <w:pPr>
        <w:pStyle w:val="Heading2"/>
      </w:pPr>
      <w:r>
        <w:rPr>
          <w:rFonts w:ascii="Arial" w:cs="Arial" w:eastAsia="Arial" w:hAnsi="Arial"/>
          <w:b/>
          <w:bCs/>
          <w:sz w:val="26"/>
          <w:szCs w:val="26"/>
        </w:rPr>
        <w:t xml:space="preserve">4.3 The Consistency Loss</w:t>
      </w:r>
    </w:p>
    <w:p>
      <w:pPr>
        <w:spacing w:after="160"/>
      </w:pPr>
      <w:r>
        <w:rPr>
          <w:rFonts w:ascii="Arial" w:cs="Arial" w:eastAsia="Arial" w:hAnsi="Arial"/>
          <w:sz w:val="22"/>
          <w:szCs w:val="22"/>
        </w:rPr>
        <w:t xml:space="preserve">The consistency loss operates on pairs of inputs from the same semantic category (positive pairs, as in contrastive learning). It penalizes divergence between their circuit embeddings, with the penalty weighted more heavily in later layers:</w:t>
      </w:r>
    </w:p>
    <w:p>
      <w:pPr>
        <w:spacing w:after="160"/>
        <w:jc w:val="center"/>
      </w:pPr>
      <w:r>
        <w:rPr>
          <w:rFonts w:ascii="Courier New" w:cs="Courier New" w:eastAsia="Courier New" w:hAnsi="Courier New"/>
          <w:b/>
          <w:bCs/>
          <w:sz w:val="22"/>
          <w:szCs w:val="22"/>
        </w:rPr>
        <w:t xml:space="preserve">ℒ_cons(x₁, x₂) = Σ_l w_l · D(C_l(x₁), C_l(x₂))</w:t>
      </w:r>
    </w:p>
    <w:p>
      <w:pPr>
        <w:spacing w:after="160"/>
      </w:pPr>
      <w:r>
        <w:rPr>
          <w:rFonts w:ascii="Arial" w:cs="Arial" w:eastAsia="Arial" w:hAnsi="Arial"/>
          <w:sz w:val="22"/>
          <w:szCs w:val="22"/>
        </w:rPr>
        <w:t xml:space="preserve">where w_l increases with layer depth, and D is a distance metric (L2 norm or CKA). The depth-weighting is theoretically motivated: early layers extract surface features (edges, textures, low-level patterns) that legitimately vary across instances of the same category, while later layers encode abstract semantic content that should be consistent for same-category inputs.</w:t>
      </w:r>
    </w:p>
    <w:p>
      <w:pPr>
        <w:spacing w:after="160"/>
      </w:pPr>
      <w:r>
        <w:rPr>
          <w:rFonts w:ascii="Arial" w:cs="Arial" w:eastAsia="Arial" w:hAnsi="Arial"/>
          <w:sz w:val="22"/>
          <w:szCs w:val="22"/>
        </w:rPr>
        <w:t xml:space="preserve">The total training objective combines the standard task loss with the circuit consistency loss:</w:t>
      </w:r>
    </w:p>
    <w:p>
      <w:pPr>
        <w:spacing w:after="160"/>
        <w:jc w:val="center"/>
      </w:pPr>
      <w:r>
        <w:rPr>
          <w:rFonts w:ascii="Courier New" w:cs="Courier New" w:eastAsia="Courier New" w:hAnsi="Courier New"/>
          <w:b/>
          <w:bCs/>
          <w:sz w:val="22"/>
          <w:szCs w:val="22"/>
        </w:rPr>
        <w:t xml:space="preserve">ℒ_total = ℒ_task + λ · ℒ_cons</w:t>
      </w:r>
    </w:p>
    <w:p>
      <w:r>
        <w:t xml:space="preserve"/>
      </w:r>
    </w:p>
    <w:p>
      <w:pPr>
        <w:pStyle w:val="Heading2"/>
      </w:pPr>
      <w:r>
        <w:rPr>
          <w:rFonts w:ascii="Arial" w:cs="Arial" w:eastAsia="Arial" w:hAnsi="Arial"/>
          <w:b/>
          <w:bCs/>
          <w:sz w:val="26"/>
          <w:szCs w:val="26"/>
        </w:rPr>
        <w:t xml:space="preserve">4.4 Magnitude-Weighted Soft Masking</w:t>
      </w:r>
    </w:p>
    <w:p>
      <w:pPr>
        <w:spacing w:after="160"/>
      </w:pPr>
      <w:r>
        <w:rPr>
          <w:rFonts w:ascii="Arial" w:cs="Arial" w:eastAsia="Arial" w:hAnsi="Arial"/>
          <w:sz w:val="22"/>
          <w:szCs w:val="22"/>
        </w:rPr>
        <w:t xml:space="preserve">Rather than using binary masks (neuron active or not), activations are represented as continuous magnitude-weighted signals. A soft-masking gate preserves the full richness of the activation signal:</w:t>
      </w:r>
    </w:p>
    <w:p>
      <w:pPr>
        <w:spacing w:after="160"/>
        <w:jc w:val="center"/>
      </w:pPr>
      <w:r>
        <w:rPr>
          <w:rFonts w:ascii="Courier New" w:cs="Courier New" w:eastAsia="Courier New" w:hAnsi="Courier New"/>
          <w:b/>
          <w:bCs/>
          <w:sz w:val="22"/>
          <w:szCs w:val="22"/>
        </w:rPr>
        <w:t xml:space="preserve">S_i = σ(a_i / τ) · a_i</w:t>
      </w:r>
    </w:p>
    <w:p>
      <w:pPr>
        <w:spacing w:after="160"/>
      </w:pPr>
      <w:r>
        <w:rPr>
          <w:rFonts w:ascii="Arial" w:cs="Arial" w:eastAsia="Arial" w:hAnsi="Arial"/>
          <w:sz w:val="22"/>
          <w:szCs w:val="22"/>
        </w:rPr>
        <w:t xml:space="preserve">where a_i is the raw activation magnitude, σ is the sigmoid function acting as a soft mask, and τ is a temperature parameter. At high temperature the mask is fluid and weighted; as τ approaches zero the mask becomes binary and interpretable. Temperature can be annealed over training to start with flexible weighted representations and gradually harden them into crisp, discrete circuits.</w:t>
      </w:r>
    </w:p>
    <w:p>
      <w:pPr>
        <w:spacing w:after="160"/>
      </w:pPr>
      <w:r>
        <w:rPr>
          <w:rFonts w:ascii="Arial" w:cs="Arial" w:eastAsia="Arial" w:hAnsi="Arial"/>
          <w:sz w:val="22"/>
          <w:szCs w:val="22"/>
        </w:rPr>
        <w:t xml:space="preserve">Using pre-activation magnitudes (before ReLU clamping) is important: even neurons that do not fire carry information about how close they were to firing. A neuron with pre-activation value of -0.1 is meaningfully different from one with value -10.0, and the circuit encoder should be able to see that difference.</w:t>
      </w:r>
    </w:p>
    <w:p>
      <w:r>
        <w:t xml:space="preserve"/>
      </w:r>
    </w:p>
    <w:p>
      <w:pPr>
        <w:pStyle w:val="Heading1"/>
      </w:pPr>
      <w:r>
        <w:rPr>
          <w:rFonts w:ascii="Arial" w:cs="Arial" w:eastAsia="Arial" w:hAnsi="Arial"/>
          <w:b/>
          <w:bCs/>
          <w:sz w:val="32"/>
          <w:szCs w:val="32"/>
        </w:rPr>
        <w:t xml:space="preserve">5. Why the Circuit Latent Space Differs From Output Embeddings</w:t>
      </w:r>
    </w:p>
    <w:p>
      <w:pPr>
        <w:spacing w:after="160"/>
      </w:pPr>
      <w:r>
        <w:rPr>
          <w:rFonts w:ascii="Arial" w:cs="Arial" w:eastAsia="Arial" w:hAnsi="Arial"/>
          <w:sz w:val="22"/>
          <w:szCs w:val="22"/>
        </w:rPr>
        <w:t xml:space="preserve">This is the most important theoretical claim of the project, and it deserves careful treatment.</w:t>
      </w:r>
    </w:p>
    <w:p>
      <w:pPr>
        <w:spacing w:after="160"/>
      </w:pPr>
      <w:r>
        <w:rPr>
          <w:rFonts w:ascii="Arial" w:cs="Arial" w:eastAsia="Arial" w:hAnsi="Arial"/>
          <w:sz w:val="22"/>
          <w:szCs w:val="22"/>
        </w:rPr>
        <w:t xml:space="preserve">The output embedding is optimized to be maximally useful for the task. It compresses everything the model learned about an input down to a vector that predicts the correct label. In doing so, it discards anything that does not contribute to that prediction. It is the endpoint of computation.</w:t>
      </w:r>
    </w:p>
    <w:p>
      <w:pPr>
        <w:spacing w:after="160"/>
      </w:pPr>
      <w:r>
        <w:rPr>
          <w:rFonts w:ascii="Arial" w:cs="Arial" w:eastAsia="Arial" w:hAnsi="Arial"/>
          <w:sz w:val="22"/>
          <w:szCs w:val="22"/>
        </w:rPr>
        <w:t xml:space="preserve">The circuit latent space encodes the trajectory — every step of the computation that led to that endpoint. Consider a concrete example: a clear, well-lit photograph of a dog and a heavily occluded, noisy photograph of a dog might produce very similar output embeddings because the model correctly classifies both as 'dog.' But their activation trajectories through the model would look quite different: the occluded image would require different early-layer feature processing, different intermediate representations, possibly different attentional routing. The circuit latent space would reflect this difference. The output space would not.</w:t>
      </w:r>
    </w:p>
    <w:p>
      <w:pPr>
        <w:spacing w:after="160"/>
      </w:pPr>
      <w:r>
        <w:rPr>
          <w:rFonts w:ascii="Arial" w:cs="Arial" w:eastAsia="Arial" w:hAnsi="Arial"/>
          <w:sz w:val="22"/>
          <w:szCs w:val="22"/>
        </w:rPr>
        <w:t xml:space="preserve">This means the circuit latent space contains strictly more information than the output space — it tells you not just what the model concluded but how it reasoned. And by training with the consistency loss, you are not just describing those trajectories after the fact; you are actively shaping them to be structured and consistent across same-category inputs.</w:t>
      </w:r>
    </w:p>
    <w:p>
      <w:r>
        <w:t xml:space="preserve"/>
      </w:r>
    </w:p>
    <w:p>
      <w:pPr>
        <w:pStyle w:val="Heading1"/>
      </w:pPr>
      <w:r>
        <w:rPr>
          <w:rFonts w:ascii="Arial" w:cs="Arial" w:eastAsia="Arial" w:hAnsi="Arial"/>
          <w:b/>
          <w:bCs/>
          <w:sz w:val="32"/>
          <w:szCs w:val="32"/>
        </w:rPr>
        <w:t xml:space="preserve">6. Novelty Assessment</w:t>
      </w:r>
    </w:p>
    <w:p>
      <w:pPr>
        <w:spacing w:after="160"/>
      </w:pPr>
      <w:r>
        <w:rPr>
          <w:rFonts w:ascii="Arial" w:cs="Arial" w:eastAsia="Arial" w:hAnsi="Arial"/>
          <w:sz w:val="22"/>
          <w:szCs w:val="22"/>
        </w:rPr>
        <w:t xml:space="preserve">Based on literature review using multiple research assistants, the following gap exists in current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Sparse Autoencoders (SAEs)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Post-hoc decomposition of single-layer activations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Training-time objective; multi-layer trajectories; semantic consistency between inputs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Monosemantic Feature Neurons (MFNs)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Stability loss on bottleneck layer under noise perturbation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Cross-input semantic consistency; depth-weighted layer regularization; full trajectory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MonoLoss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Differentiable monosemanticity score on individual neurons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Circuit-level routing; population dynamics; trajectory embedding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Activation Consistency Training (ACT)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Residual stream consistency under prompt perturbation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Interpretability goal; semantic grouping; circuit extraction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Brain-Inspired Modular Training (BIMT)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Weight-level penalty on connection length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Activation trajectories; training-time consistency loss; latent circuit space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CKA / Probing Classifiers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Post-hoc representation similarity analysis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Training-time objective; trajectory embedding; any feedback to model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CTLS (This Project)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Joint latent space over full multi-layer activation trajectories with semantic consistency loss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r>
        <w:t xml:space="preserve"/>
      </w:r>
    </w:p>
    <w:p>
      <w:pPr>
        <w:spacing w:after="160"/>
      </w:pPr>
      <w:r>
        <w:rPr>
          <w:rFonts w:ascii="Arial" w:cs="Arial" w:eastAsia="Arial" w:hAnsi="Arial"/>
          <w:sz w:val="22"/>
          <w:szCs w:val="22"/>
        </w:rPr>
        <w:t xml:space="preserve">The specific combination that does not appear in existing literature is: a training-time objective that (1) treats the full multi-layer activation trajectory as the unit of analysis, (2) embeds that trajectory into a joint latent space, and (3) uses semantic consistency between different same-category inputs as the loss signal — as opposed to perturbation-based stability of the same input.</w:t>
      </w:r>
    </w:p>
    <w:p>
      <w:r>
        <w:t xml:space="preserve"/>
      </w:r>
    </w:p>
    <w:p>
      <w:pPr>
        <w:pStyle w:val="Heading1"/>
      </w:pPr>
      <w:r>
        <w:rPr>
          <w:rFonts w:ascii="Arial" w:cs="Arial" w:eastAsia="Arial" w:hAnsi="Arial"/>
          <w:b/>
          <w:bCs/>
          <w:sz w:val="32"/>
          <w:szCs w:val="32"/>
        </w:rPr>
        <w:t xml:space="preserve">7. Theoretical Strengths</w:t>
      </w:r>
    </w:p>
    <w:p>
      <w:pPr>
        <w:pStyle w:val="Heading2"/>
      </w:pPr>
      <w:r>
        <w:rPr>
          <w:rFonts w:ascii="Arial" w:cs="Arial" w:eastAsia="Arial" w:hAnsi="Arial"/>
          <w:b/>
          <w:bCs/>
          <w:sz w:val="26"/>
          <w:szCs w:val="26"/>
        </w:rPr>
        <w:t xml:space="preserve">7.1 The Representational Space Argument</w:t>
      </w:r>
    </w:p>
    <w:p>
      <w:pPr>
        <w:spacing w:after="160"/>
      </w:pPr>
      <w:r>
        <w:rPr>
          <w:rFonts w:ascii="Arial" w:cs="Arial" w:eastAsia="Arial" w:hAnsi="Arial"/>
          <w:sz w:val="22"/>
          <w:szCs w:val="22"/>
        </w:rPr>
        <w:t xml:space="preserve">The single most important theoretical advantage of population-level circuit analysis over neuron-level analysis is the scale of the representational space. With N neurons, neuron-level analysis has N dimensions. Population-level analysis has approximately 2^N possible activation patterns — an exponentially larger space. This means:</w:t>
      </w:r>
    </w:p>
    <w:p>
      <w:pPr>
        <w:pStyle w:val="ListParagraph"/>
        <w:numPr>
          <w:ilvl w:val="0"/>
          <w:numId w:val="2"/>
        </w:numPr>
        <w:spacing w:after="100"/>
      </w:pPr>
      <w:r>
        <w:rPr>
          <w:rFonts w:ascii="Arial" w:cs="Arial" w:eastAsia="Arial" w:hAnsi="Arial"/>
          <w:sz w:val="22"/>
          <w:szCs w:val="22"/>
        </w:rPr>
        <w:t xml:space="preserve">The model has vastly more room to encode distinct circuits for distinct categories without needing to overlap or share computational resources</w:t>
      </w:r>
    </w:p>
    <w:p>
      <w:pPr>
        <w:pStyle w:val="ListParagraph"/>
        <w:numPr>
          <w:ilvl w:val="0"/>
          <w:numId w:val="2"/>
        </w:numPr>
        <w:spacing w:after="100"/>
      </w:pPr>
      <w:r>
        <w:rPr>
          <w:rFonts w:ascii="Arial" w:cs="Arial" w:eastAsia="Arial" w:hAnsi="Arial"/>
          <w:sz w:val="22"/>
          <w:szCs w:val="22"/>
        </w:rPr>
        <w:t xml:space="preserve">The superposition pressure that makes neuron-level interpretability difficult is dramatically reduced</w:t>
      </w:r>
    </w:p>
    <w:p>
      <w:pPr>
        <w:pStyle w:val="ListParagraph"/>
        <w:numPr>
          <w:ilvl w:val="0"/>
          <w:numId w:val="2"/>
        </w:numPr>
        <w:spacing w:after="100"/>
      </w:pPr>
      <w:r>
        <w:rPr>
          <w:rFonts w:ascii="Arial" w:cs="Arial" w:eastAsia="Arial" w:hAnsi="Arial"/>
          <w:sz w:val="22"/>
          <w:szCs w:val="22"/>
        </w:rPr>
        <w:t xml:space="preserve">The consistency loss has an easier optimization landscape — there is space to pull same-category circuits together without collapsing different-category circuits</w:t>
      </w:r>
    </w:p>
    <w:p>
      <w:r>
        <w:t xml:space="preserve"/>
      </w:r>
    </w:p>
    <w:p>
      <w:pPr>
        <w:pStyle w:val="Heading2"/>
      </w:pPr>
      <w:r>
        <w:rPr>
          <w:rFonts w:ascii="Arial" w:cs="Arial" w:eastAsia="Arial" w:hAnsi="Arial"/>
          <w:b/>
          <w:bCs/>
          <w:sz w:val="26"/>
          <w:szCs w:val="26"/>
        </w:rPr>
        <w:t xml:space="preserve">7.2 Connection to Generalization</w:t>
      </w:r>
    </w:p>
    <w:p>
      <w:pPr>
        <w:spacing w:after="160"/>
      </w:pPr>
      <w:r>
        <w:rPr>
          <w:rFonts w:ascii="Arial" w:cs="Arial" w:eastAsia="Arial" w:hAnsi="Arial"/>
          <w:sz w:val="22"/>
          <w:szCs w:val="22"/>
        </w:rPr>
        <w:t xml:space="preserve">Research on 'grokking' in Mixture-of-Experts models has shown that as models transition from memorization to generalization, their internal routing pathways spontaneously become more consistent across semantically similar inputs. Pathway similarity between same-category inputs increases at the grokking transition even without any explicit training pressure toward that outcome.</w:t>
      </w:r>
    </w:p>
    <w:p>
      <w:pPr>
        <w:spacing w:after="160"/>
      </w:pPr>
      <w:r>
        <w:rPr>
          <w:rFonts w:ascii="Arial" w:cs="Arial" w:eastAsia="Arial" w:hAnsi="Arial"/>
          <w:sz w:val="22"/>
          <w:szCs w:val="22"/>
        </w:rPr>
        <w:t xml:space="preserve">This suggests that the consistency loss is not fighting against generalization — it may be accelerating it. By explicitly incentivizing the behavior that emerges naturally at generalization, the model may reach structured, transferable representations faster.</w:t>
      </w:r>
    </w:p>
    <w:p>
      <w:r>
        <w:t xml:space="preserve"/>
      </w:r>
    </w:p>
    <w:p>
      <w:pPr>
        <w:pStyle w:val="Heading2"/>
      </w:pPr>
      <w:r>
        <w:rPr>
          <w:rFonts w:ascii="Arial" w:cs="Arial" w:eastAsia="Arial" w:hAnsi="Arial"/>
          <w:b/>
          <w:bCs/>
          <w:sz w:val="26"/>
          <w:szCs w:val="26"/>
        </w:rPr>
        <w:t xml:space="preserve">7.3 Faithfulness by Construction</w:t>
      </w:r>
    </w:p>
    <w:p>
      <w:pPr>
        <w:spacing w:after="160"/>
      </w:pPr>
      <w:r>
        <w:rPr>
          <w:rFonts w:ascii="Arial" w:cs="Arial" w:eastAsia="Arial" w:hAnsi="Arial"/>
          <w:sz w:val="22"/>
          <w:szCs w:val="22"/>
        </w:rPr>
        <w:t xml:space="preserve">Post-hoc interpretability methods face a fundamental faithfulness problem: the explanation might not reflect what the model actually computed. CTLS sidesteps this entirely. The circuits are not discovered after training — they are the object of training. The model is literally optimized to route same-category inputs through similar pathways. There is no gap between the explanation and the computation because the explanation is the computation.</w:t>
      </w:r>
    </w:p>
    <w:p>
      <w:r>
        <w:t xml:space="preserve"/>
      </w:r>
    </w:p>
    <w:p>
      <w:pPr>
        <w:pStyle w:val="Heading1"/>
      </w:pPr>
      <w:r>
        <w:rPr>
          <w:rFonts w:ascii="Arial" w:cs="Arial" w:eastAsia="Arial" w:hAnsi="Arial"/>
          <w:b/>
          <w:bCs/>
          <w:sz w:val="32"/>
          <w:szCs w:val="32"/>
        </w:rPr>
        <w:t xml:space="preserve">8. Technical Challenges</w:t>
      </w:r>
    </w:p>
    <w:p>
      <w:pPr>
        <w:pStyle w:val="Heading2"/>
      </w:pPr>
      <w:r>
        <w:rPr>
          <w:rFonts w:ascii="Arial" w:cs="Arial" w:eastAsia="Arial" w:hAnsi="Arial"/>
          <w:b/>
          <w:bCs/>
          <w:sz w:val="26"/>
          <w:szCs w:val="26"/>
        </w:rPr>
        <w:t xml:space="preserve">8.1 Memory Overhead</w:t>
      </w:r>
    </w:p>
    <w:p>
      <w:pPr>
        <w:spacing w:after="160"/>
      </w:pPr>
      <w:r>
        <w:rPr>
          <w:rFonts w:ascii="Arial" w:cs="Arial" w:eastAsia="Arial" w:hAnsi="Arial"/>
          <w:sz w:val="22"/>
          <w:szCs w:val="22"/>
        </w:rPr>
        <w:t xml:space="preserve">Storing full activation trajectories across all layers for every input in a batch is expensive. For a large transformer with many layers and large hidden dimensions, this can be 3-5x the memory cost of a standard forward pass. The primary mitigation is gradient checkpointing — recomputing activations during the backward pass rather than storing them — which trades memory for compute. For proof-of-concept scale this is manageable; for large foundation models it becomes a significant engineering constraint.</w:t>
      </w:r>
    </w:p>
    <w:p>
      <w:r>
        <w:t xml:space="preserve"/>
      </w:r>
    </w:p>
    <w:p>
      <w:pPr>
        <w:pStyle w:val="Heading2"/>
      </w:pPr>
      <w:r>
        <w:rPr>
          <w:rFonts w:ascii="Arial" w:cs="Arial" w:eastAsia="Arial" w:hAnsi="Arial"/>
          <w:b/>
          <w:bCs/>
          <w:sz w:val="26"/>
          <w:szCs w:val="26"/>
        </w:rPr>
        <w:t xml:space="preserve">8.2 Feature Drift</w:t>
      </w:r>
    </w:p>
    <w:p>
      <w:pPr>
        <w:spacing w:after="160"/>
      </w:pPr>
      <w:r>
        <w:rPr>
          <w:rFonts w:ascii="Arial" w:cs="Arial" w:eastAsia="Arial" w:hAnsi="Arial"/>
          <w:sz w:val="22"/>
          <w:szCs w:val="22"/>
        </w:rPr>
        <w:t xml:space="preserve">Intermediate representations change substantially during training, especially in early epochs. A circuit embedding learned at epoch 5 may be meaningless by epoch 50. The meta-encoder must be trained jointly with the backbone, which means the target it is trying to encode keeps moving. This is manageable but requires careful learning rate scheduling and possibly a warm-up period where the consistency loss weight lambda is annealed in gradually.</w:t>
      </w:r>
    </w:p>
    <w:p>
      <w:r>
        <w:t xml:space="preserve"/>
      </w:r>
    </w:p>
    <w:p>
      <w:pPr>
        <w:pStyle w:val="Heading2"/>
      </w:pPr>
      <w:r>
        <w:rPr>
          <w:rFonts w:ascii="Arial" w:cs="Arial" w:eastAsia="Arial" w:hAnsi="Arial"/>
          <w:b/>
          <w:bCs/>
          <w:sz w:val="26"/>
          <w:szCs w:val="26"/>
        </w:rPr>
        <w:t xml:space="preserve">8.3 The Consistency-Capacity Tension</w:t>
      </w:r>
    </w:p>
    <w:p>
      <w:pPr>
        <w:spacing w:after="160"/>
      </w:pPr>
      <w:r>
        <w:rPr>
          <w:rFonts w:ascii="Arial" w:cs="Arial" w:eastAsia="Arial" w:hAnsi="Arial"/>
          <w:sz w:val="22"/>
          <w:szCs w:val="22"/>
        </w:rPr>
        <w:t xml:space="preserve">Forcing same-category inputs to share circuits is not always the right behavior. A clear image of a dog and a heavily occluded image of a dog are the same category but legitimately require different computational approaches at early layers. Setting the layer weights w_l appropriately — very low for early layers, high for later layers — is essential. If the consistency loss is applied too aggressively in early layers, the model may lose the ability to handle input diversity within a category, degrading performance on difficult cases.</w:t>
      </w:r>
    </w:p>
    <w:p>
      <w:r>
        <w:t xml:space="preserve"/>
      </w:r>
    </w:p>
    <w:p>
      <w:pPr>
        <w:pStyle w:val="Heading2"/>
      </w:pPr>
      <w:r>
        <w:rPr>
          <w:rFonts w:ascii="Arial" w:cs="Arial" w:eastAsia="Arial" w:hAnsi="Arial"/>
          <w:b/>
          <w:bCs/>
          <w:sz w:val="26"/>
          <w:szCs w:val="26"/>
        </w:rPr>
        <w:t xml:space="preserve">8.4 Evaluating Interpretability</w:t>
      </w:r>
    </w:p>
    <w:p>
      <w:pPr>
        <w:spacing w:after="160"/>
      </w:pPr>
      <w:r>
        <w:rPr>
          <w:rFonts w:ascii="Arial" w:cs="Arial" w:eastAsia="Arial" w:hAnsi="Arial"/>
          <w:sz w:val="22"/>
          <w:szCs w:val="22"/>
        </w:rPr>
        <w:t xml:space="preserve">'The model is more interpretable' needs to be a concrete, measurable claim. The most natural evaluation is to run SAE analysis on the CTLS-trained model versus a baseline and measure monosemanticity scores, feature purity, and circuit reuse rates. A second evaluation is visual: UMAP or t-SNE of the circuit latent space should show clean semantic clusters that are measurably distinct from the same visualization of output embeddings.</w:t>
      </w:r>
    </w:p>
    <w:p>
      <w:r>
        <w:t xml:space="preserve"/>
      </w:r>
    </w:p>
    <w:p>
      <w:pPr>
        <w:pStyle w:val="Heading1"/>
      </w:pPr>
      <w:r>
        <w:rPr>
          <w:rFonts w:ascii="Arial" w:cs="Arial" w:eastAsia="Arial" w:hAnsi="Arial"/>
          <w:b/>
          <w:bCs/>
          <w:sz w:val="32"/>
          <w:szCs w:val="32"/>
        </w:rPr>
        <w:t xml:space="preserve">9. Where This Matters Most</w:t>
      </w:r>
    </w:p>
    <w:p>
      <w:pPr>
        <w:pStyle w:val="Heading2"/>
      </w:pPr>
      <w:r>
        <w:rPr>
          <w:rFonts w:ascii="Arial" w:cs="Arial" w:eastAsia="Arial" w:hAnsi="Arial"/>
          <w:b/>
          <w:bCs/>
          <w:sz w:val="26"/>
          <w:szCs w:val="26"/>
        </w:rPr>
        <w:t xml:space="preserve">9.1 High-Stakes Decision Systems</w:t>
      </w:r>
    </w:p>
    <w:p>
      <w:pPr>
        <w:spacing w:after="160"/>
      </w:pPr>
      <w:r>
        <w:rPr>
          <w:rFonts w:ascii="Arial" w:cs="Arial" w:eastAsia="Arial" w:hAnsi="Arial"/>
          <w:sz w:val="22"/>
          <w:szCs w:val="22"/>
        </w:rPr>
        <w:t xml:space="preserve">Medical diagnosis, legal reasoning, and financial risk assessment all require not just accurate predictions but auditable reasoning. CTLS would provide a concrete mechanism for verifying that a model consistently uses the same reasoning pathway for similar cases — a property that matters enormously for regulatory compliance and clinical trust. If a diagnostic model flags two similar scans for different reasons, that is a problem that post-hoc methods can describe but not prevent. CTLS prevents it by construction.</w:t>
      </w:r>
    </w:p>
    <w:p>
      <w:r>
        <w:t xml:space="preserve"/>
      </w:r>
    </w:p>
    <w:p>
      <w:pPr>
        <w:pStyle w:val="Heading2"/>
      </w:pPr>
      <w:r>
        <w:rPr>
          <w:rFonts w:ascii="Arial" w:cs="Arial" w:eastAsia="Arial" w:hAnsi="Arial"/>
          <w:b/>
          <w:bCs/>
          <w:sz w:val="26"/>
          <w:szCs w:val="26"/>
        </w:rPr>
        <w:t xml:space="preserve">9.2 AI Safety</w:t>
      </w:r>
    </w:p>
    <w:p>
      <w:pPr>
        <w:spacing w:after="160"/>
      </w:pPr>
      <w:r>
        <w:rPr>
          <w:rFonts w:ascii="Arial" w:cs="Arial" w:eastAsia="Arial" w:hAnsi="Arial"/>
          <w:sz w:val="22"/>
          <w:szCs w:val="22"/>
        </w:rPr>
        <w:t xml:space="preserve">One of the key concerns in AI safety is 'rerouting' — where a model learns to achieve a goal through an unmonitored internal pathway that bypasses the circuits researchers have analyzed and deemed safe. By enforcing pathway consistency during training, CTLS restricts the model's ability to develop such alternative routes. The internal faithfulness guarantee is not post-hoc — it is baked in.</w:t>
      </w:r>
    </w:p>
    <w:p>
      <w:r>
        <w:t xml:space="preserve"/>
      </w:r>
    </w:p>
    <w:p>
      <w:pPr>
        <w:pStyle w:val="Heading2"/>
      </w:pPr>
      <w:r>
        <w:rPr>
          <w:rFonts w:ascii="Arial" w:cs="Arial" w:eastAsia="Arial" w:hAnsi="Arial"/>
          <w:b/>
          <w:bCs/>
          <w:sz w:val="26"/>
          <w:szCs w:val="26"/>
        </w:rPr>
        <w:t xml:space="preserve">9.3 Smaller Task-Specific Models</w:t>
      </w:r>
    </w:p>
    <w:p>
      <w:pPr>
        <w:spacing w:after="160"/>
      </w:pPr>
      <w:r>
        <w:rPr>
          <w:rFonts w:ascii="Arial" w:cs="Arial" w:eastAsia="Arial" w:hAnsi="Arial"/>
          <w:sz w:val="22"/>
          <w:szCs w:val="22"/>
        </w:rPr>
        <w:t xml:space="preserve">The superposition pressure is lower in smaller models trained on specific tasks, which means the population space argument is stronger and the consistency loss has less to fight against. CTLS is most tractably tested and most likely to produce clean results in this regime — a well-specified classification task on a medium-sized model — before scaling.</w:t>
      </w:r>
    </w:p>
    <w:p>
      <w:r>
        <w:t xml:space="preserve"/>
      </w:r>
    </w:p>
    <w:p>
      <w:pPr>
        <w:pStyle w:val="Heading1"/>
      </w:pPr>
      <w:r>
        <w:rPr>
          <w:rFonts w:ascii="Arial" w:cs="Arial" w:eastAsia="Arial" w:hAnsi="Arial"/>
          <w:b/>
          <w:bCs/>
          <w:sz w:val="32"/>
          <w:szCs w:val="32"/>
        </w:rPr>
        <w:t xml:space="preserve">10. Proof of Concept Experimental Plan</w:t>
      </w:r>
    </w:p>
    <w:p>
      <w:pPr>
        <w:pStyle w:val="Heading2"/>
      </w:pPr>
      <w:r>
        <w:rPr>
          <w:rFonts w:ascii="Arial" w:cs="Arial" w:eastAsia="Arial" w:hAnsi="Arial"/>
          <w:b/>
          <w:bCs/>
          <w:sz w:val="26"/>
          <w:szCs w:val="26"/>
        </w:rPr>
        <w:t xml:space="preserve">Stage 1 — Baseline Circuit Latent Space</w:t>
      </w:r>
    </w:p>
    <w:p>
      <w:pPr>
        <w:spacing w:after="160"/>
      </w:pPr>
      <w:r>
        <w:rPr>
          <w:rFonts w:ascii="Arial" w:cs="Arial" w:eastAsia="Arial" w:hAnsi="Arial"/>
          <w:sz w:val="22"/>
          <w:szCs w:val="22"/>
        </w:rPr>
        <w:t xml:space="preserve">Train a small ViT or ResNet on CIFAR-10 without any consistency loss. Attach a meta-encoder to the activation trajectory. Train the meta-encoder to compress trajectories into a 64-dimensional circuit latent space using a standard contrastive objective. Visualize with UMAP. Establish baseline: how much semantic structure exists in the circuit space of a normally-trained model?</w:t>
      </w:r>
    </w:p>
    <w:p>
      <w:r>
        <w:t xml:space="preserve"/>
      </w:r>
    </w:p>
    <w:p>
      <w:pPr>
        <w:pStyle w:val="Heading2"/>
      </w:pPr>
      <w:r>
        <w:rPr>
          <w:rFonts w:ascii="Arial" w:cs="Arial" w:eastAsia="Arial" w:hAnsi="Arial"/>
          <w:b/>
          <w:bCs/>
          <w:sz w:val="26"/>
          <w:szCs w:val="26"/>
        </w:rPr>
        <w:t xml:space="preserve">Stage 2 — Add the Consistency Loss</w:t>
      </w:r>
    </w:p>
    <w:p>
      <w:pPr>
        <w:spacing w:after="160"/>
      </w:pPr>
      <w:r>
        <w:rPr>
          <w:rFonts w:ascii="Arial" w:cs="Arial" w:eastAsia="Arial" w:hAnsi="Arial"/>
          <w:sz w:val="22"/>
          <w:szCs w:val="22"/>
        </w:rPr>
        <w:t xml:space="preserve">Retrain with the full CTLS objective. Compare circuit latent space UMAP against Stage 1. Measure: do clusters get tighter? Does task performance change? This is the core empirical test of the central claim.</w:t>
      </w:r>
    </w:p>
    <w:p>
      <w:r>
        <w:t xml:space="preserve"/>
      </w:r>
    </w:p>
    <w:p>
      <w:pPr>
        <w:pStyle w:val="Heading2"/>
      </w:pPr>
      <w:r>
        <w:rPr>
          <w:rFonts w:ascii="Arial" w:cs="Arial" w:eastAsia="Arial" w:hAnsi="Arial"/>
          <w:b/>
          <w:bCs/>
          <w:sz w:val="26"/>
          <w:szCs w:val="26"/>
        </w:rPr>
        <w:t xml:space="preserve">Stage 3 — Verify the Output Embedding Distinction</w:t>
      </w:r>
    </w:p>
    <w:p>
      <w:pPr>
        <w:spacing w:after="160"/>
      </w:pPr>
      <w:r>
        <w:rPr>
          <w:rFonts w:ascii="Arial" w:cs="Arial" w:eastAsia="Arial" w:hAnsi="Arial"/>
          <w:sz w:val="22"/>
          <w:szCs w:val="22"/>
        </w:rPr>
        <w:t xml:space="preserve">Take pairs of inputs that produce similar output embeddings but differ in their surface properties (e.g., clear vs. occluded same-category images). Measure distances in output embedding space vs. circuit latent space. If the circuit space successfully separates them while output space does not, this is strong evidence the circuit space contains genuinely new information.</w:t>
      </w:r>
    </w:p>
    <w:p>
      <w:r>
        <w:t xml:space="preserve"/>
      </w:r>
    </w:p>
    <w:p>
      <w:pPr>
        <w:pStyle w:val="Heading2"/>
      </w:pPr>
      <w:r>
        <w:rPr>
          <w:rFonts w:ascii="Arial" w:cs="Arial" w:eastAsia="Arial" w:hAnsi="Arial"/>
          <w:b/>
          <w:bCs/>
          <w:sz w:val="26"/>
          <w:szCs w:val="26"/>
        </w:rPr>
        <w:t xml:space="preserve">Stage 4 — Depth-Weighting Ablation</w:t>
      </w:r>
    </w:p>
    <w:p>
      <w:pPr>
        <w:spacing w:after="160"/>
      </w:pPr>
      <w:r>
        <w:rPr>
          <w:rFonts w:ascii="Arial" w:cs="Arial" w:eastAsia="Arial" w:hAnsi="Arial"/>
          <w:sz w:val="22"/>
          <w:szCs w:val="22"/>
        </w:rPr>
        <w:t xml:space="preserve">Compare uniform layer weighting vs. depth-weighted consistency loss. Does the weighting matter? This tests one of the specific novel claims of the method and is essential for the paper's contribution to be well-defined.</w:t>
      </w:r>
    </w:p>
    <w:p>
      <w:r>
        <w:t xml:space="preserve"/>
      </w:r>
    </w:p>
    <w:p>
      <w:pPr>
        <w:pStyle w:val="Heading2"/>
      </w:pPr>
      <w:r>
        <w:rPr>
          <w:rFonts w:ascii="Arial" w:cs="Arial" w:eastAsia="Arial" w:hAnsi="Arial"/>
          <w:b/>
          <w:bCs/>
          <w:sz w:val="26"/>
          <w:szCs w:val="26"/>
        </w:rPr>
        <w:t xml:space="preserve">Stage 5 — Interpretability Evaluation</w:t>
      </w:r>
    </w:p>
    <w:p>
      <w:pPr>
        <w:spacing w:after="160"/>
      </w:pPr>
      <w:r>
        <w:rPr>
          <w:rFonts w:ascii="Arial" w:cs="Arial" w:eastAsia="Arial" w:hAnsi="Arial"/>
          <w:sz w:val="22"/>
          <w:szCs w:val="22"/>
        </w:rPr>
        <w:t xml:space="preserve">Run SAE analysis on CTLS-trained vs. baseline model. Measure monosemanticity scores, feature purity, and circuit reuse rates across categories. This connects the method to the existing mechanistic interpretability literature and provides a bridge for readers in that community.</w:t>
      </w:r>
    </w:p>
    <w:p>
      <w:r>
        <w:t xml:space="preserve"/>
      </w:r>
    </w:p>
    <w:p>
      <w:pPr>
        <w:pStyle w:val="Heading2"/>
      </w:pPr>
      <w:r>
        <w:rPr>
          <w:rFonts w:ascii="Arial" w:cs="Arial" w:eastAsia="Arial" w:hAnsi="Arial"/>
          <w:b/>
          <w:bCs/>
          <w:sz w:val="26"/>
          <w:szCs w:val="26"/>
        </w:rPr>
        <w:t xml:space="preserve">Compute Requirements</w:t>
      </w:r>
    </w:p>
    <w:p>
      <w:pPr>
        <w:spacing w:after="160"/>
      </w:pPr>
      <w:r>
        <w:rPr>
          <w:rFonts w:ascii="Arial" w:cs="Arial" w:eastAsia="Arial" w:hAnsi="Arial"/>
          <w:sz w:val="22"/>
          <w:szCs w:val="22"/>
        </w:rPr>
        <w:t xml:space="preserve">Stages 1-3 are achievable on a single A100 or consumer GPU (RTX 4090) within 1-3 days of training. Google Colab Pro+ is sufficient for early exploration. Serious scaling experiments (Stage 5 with large models) would require a small multi-GPU setup, but this is a second-paper problem.</w:t>
      </w:r>
    </w:p>
    <w:p>
      <w:r>
        <w:t xml:space="preserve"/>
      </w:r>
    </w:p>
    <w:p>
      <w:pPr>
        <w:pStyle w:val="Heading1"/>
      </w:pPr>
      <w:r>
        <w:rPr>
          <w:rFonts w:ascii="Arial" w:cs="Arial" w:eastAsia="Arial" w:hAnsi="Arial"/>
          <w:b/>
          <w:bCs/>
          <w:sz w:val="32"/>
          <w:szCs w:val="32"/>
        </w:rPr>
        <w:t xml:space="preserve">11. Confidence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Novelty of full combination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canonical paper implements class-based trajectory consistency as training objective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Theoretical soundness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space argument is well-grounded; depth-weighting has empirical support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feasibility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Implementable with existing tools; memory overhead is manageable at proof-of-concept scale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Superposition risk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Significantly reduced vs. neuron-level methods due to exponential population space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vs. circuit space distinction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Theoretically clear; empirically needs verification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enough to build; clear enough to test; novel enough to publish if results hold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7.5/10</w:t>
            </w:r>
          </w:p>
        </w:tc>
      </w:tr>
    </w:tbl>
    <w:p>
      <w:r>
        <w:t xml:space="preserve"/>
      </w:r>
    </w:p>
    <w:p>
      <w:pPr>
        <w:pStyle w:val="Heading1"/>
      </w:pPr>
      <w:r>
        <w:rPr>
          <w:rFonts w:ascii="Arial" w:cs="Arial" w:eastAsia="Arial" w:hAnsi="Arial"/>
          <w:b/>
          <w:bCs/>
          <w:sz w:val="32"/>
          <w:szCs w:val="32"/>
        </w:rPr>
        <w:t xml:space="preserve">12. Summary</w:t>
      </w:r>
    </w:p>
    <w:p>
      <w:pPr>
        <w:spacing w:after="160"/>
      </w:pPr>
      <w:r>
        <w:rPr>
          <w:rFonts w:ascii="Arial" w:cs="Arial" w:eastAsia="Arial" w:hAnsi="Arial"/>
          <w:sz w:val="22"/>
          <w:szCs w:val="22"/>
        </w:rPr>
        <w:t xml:space="preserve">Circuit Trajectory Latent Space (CTLS) proposes training neural networks with an auxiliary loss that enforces semantic consistency in the space of full, multi-layer activation trajectories — the population-level 'circuits' that constitute a model's internal reasoning process.</w:t>
      </w:r>
    </w:p>
    <w:p>
      <w:pPr>
        <w:spacing w:after="160"/>
      </w:pPr>
      <w:r>
        <w:rPr>
          <w:rFonts w:ascii="Arial" w:cs="Arial" w:eastAsia="Arial" w:hAnsi="Arial"/>
          <w:sz w:val="22"/>
          <w:szCs w:val="22"/>
        </w:rPr>
        <w:t xml:space="preserve">The core claims are:</w:t>
      </w:r>
    </w:p>
    <w:p>
      <w:pPr>
        <w:pStyle w:val="ListParagraph"/>
        <w:numPr>
          <w:ilvl w:val="0"/>
          <w:numId w:val="3"/>
        </w:numPr>
        <w:spacing w:after="100"/>
      </w:pPr>
      <w:r>
        <w:rPr>
          <w:rFonts w:ascii="Arial" w:cs="Arial" w:eastAsia="Arial" w:hAnsi="Arial"/>
          <w:sz w:val="22"/>
          <w:szCs w:val="22"/>
        </w:rPr>
        <w:t xml:space="preserve">The full activation trajectory is a richer and more informative object than single-layer activations or output embeddings, capturing how a model reasons rather than just what it concludes.</w:t>
      </w:r>
    </w:p>
    <w:p>
      <w:pPr>
        <w:pStyle w:val="ListParagraph"/>
        <w:numPr>
          <w:ilvl w:val="0"/>
          <w:numId w:val="3"/>
        </w:numPr>
        <w:spacing w:after="100"/>
      </w:pPr>
      <w:r>
        <w:rPr>
          <w:rFonts w:ascii="Arial" w:cs="Arial" w:eastAsia="Arial" w:hAnsi="Arial"/>
          <w:sz w:val="22"/>
          <w:szCs w:val="22"/>
        </w:rPr>
        <w:t xml:space="preserve">Embedding these trajectories into a joint latent space and applying a depth-weighted semantic consistency loss will produce models with more structured, consistent, and human-legible internal pathways.</w:t>
      </w:r>
    </w:p>
    <w:p>
      <w:pPr>
        <w:pStyle w:val="ListParagraph"/>
        <w:numPr>
          <w:ilvl w:val="0"/>
          <w:numId w:val="3"/>
        </w:numPr>
        <w:spacing w:after="100"/>
      </w:pPr>
      <w:r>
        <w:rPr>
          <w:rFonts w:ascii="Arial" w:cs="Arial" w:eastAsia="Arial" w:hAnsi="Arial"/>
          <w:sz w:val="22"/>
          <w:szCs w:val="22"/>
        </w:rPr>
        <w:t xml:space="preserve">Because this is a training objective rather than a post-hoc analysis tool, the interpretability guarantee is faithful by construction — the model is literally optimized to compute in an interpretable way.</w:t>
      </w:r>
    </w:p>
    <w:p>
      <w:pPr>
        <w:pStyle w:val="ListParagraph"/>
        <w:numPr>
          <w:ilvl w:val="0"/>
          <w:numId w:val="3"/>
        </w:numPr>
        <w:spacing w:after="100"/>
      </w:pPr>
      <w:r>
        <w:rPr>
          <w:rFonts w:ascii="Arial" w:cs="Arial" w:eastAsia="Arial" w:hAnsi="Arial"/>
          <w:sz w:val="22"/>
          <w:szCs w:val="22"/>
        </w:rPr>
        <w:t xml:space="preserve">The use of population-level dynamics rather than individual neuron analysis dramatically increases the representational space available, reducing the superposition pressure that makes neuron-level interpretability difficult.</w:t>
      </w:r>
    </w:p>
    <w:p>
      <w:r>
        <w:t xml:space="preserve"/>
      </w:r>
    </w:p>
    <w:p>
      <w:pPr>
        <w:spacing w:after="160"/>
      </w:pPr>
      <w:r>
        <w:rPr>
          <w:rFonts w:ascii="Arial" w:cs="Arial" w:eastAsia="Arial" w:hAnsi="Arial"/>
          <w:i/>
          <w:iCs/>
          <w:sz w:val="22"/>
          <w:szCs w:val="22"/>
        </w:rPr>
        <w:t xml:space="preserve">The idea occupies a genuine gap at the intersection of mechanistic interpretability, self-supervised representation learning, and dynamical systems views of deep networks. Adjacent work exists on the components but the specific combination is novel. The proof of concept is achievable with modest compute and would constitute a publishable contribution to the interpretability-as-a-training-objective frontier.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2026-03-12T19:23:31.035Z</dcterms:created>
  <dcterms:modified xsi:type="dcterms:W3CDTF">2026-03-12T19:23:31.035Z</dcterms:modified>
</cp:coreProperties>
</file>

<file path=docProps/custom.xml><?xml version="1.0" encoding="utf-8"?>
<Properties xmlns="http://schemas.openxmlformats.org/officeDocument/2006/custom-properties" xmlns:vt="http://schemas.openxmlformats.org/officeDocument/2006/docPropsVTypes"/>
</file>