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Aptos Display" w:hAnsi="Aptos Display"/>
          <w:b/>
          <w:color w:val="1F3A5F"/>
          <w:sz w:val="48"/>
        </w:rPr>
        <w:t>Predictive Circuit Coding</w:t>
      </w:r>
    </w:p>
    <w:p>
      <w:pPr>
        <w:spacing w:after="360"/>
        <w:jc w:val="center"/>
      </w:pPr>
      <w:r>
        <w:rPr>
          <w:rFonts w:ascii="Aptos" w:hAnsi="Aptos"/>
          <w:color w:val="555555"/>
          <w:sz w:val="22"/>
        </w:rPr>
        <w:t>Technical Design Document</w:t>
        <w:br/>
        <w:t>A dynamics-first population representation framework for motif discovery in Neuropixels-</w:t>
        <w:br/>
        <w:t>scale recordings</w:t>
      </w:r>
    </w:p>
    <w:tbl>
      <w:tblPr>
        <w:tblStyle w:val="TableGrid"/>
        <w:tblW w:type="auto" w:w="0"/>
        <w:jc w:val="center"/>
        <w:tblLook w:firstColumn="1" w:firstRow="1" w:lastColumn="0" w:lastRow="0" w:noHBand="0" w:noVBand="1" w:val="04A0"/>
      </w:tblPr>
      <w:tblGrid>
        <w:gridCol w:w="4824"/>
        <w:gridCol w:w="4824"/>
      </w:tblGrid>
      <w:tr>
        <w:tc>
          <w:tcPr>
            <w:tcW w:type="dxa" w:w="4824"/>
            <w:shd w:fill="EAF1F8"/>
            <w:tcMar>
              <w:top w:w="100" w:type="dxa"/>
              <w:start w:w="120" w:type="dxa"/>
              <w:bottom w:w="100" w:type="dxa"/>
              <w:end w:w="120" w:type="dxa"/>
            </w:tcMar>
            <w:vAlign w:val="center"/>
          </w:tcPr>
          <w:p>
            <w:pPr>
              <w:spacing w:after="0" w:line="240" w:lineRule="auto"/>
            </w:pPr>
            <w:r>
              <w:rPr>
                <w:b/>
                <w:color w:val="1F3A5F"/>
                <w:sz w:val="19"/>
              </w:rPr>
              <w:t>Document purpose</w:t>
            </w:r>
          </w:p>
        </w:tc>
        <w:tc>
          <w:tcPr>
            <w:tcW w:type="dxa" w:w="4824"/>
            <w:tcMar>
              <w:top w:w="100" w:type="dxa"/>
              <w:start w:w="120" w:type="dxa"/>
              <w:bottom w:w="100" w:type="dxa"/>
              <w:end w:w="120" w:type="dxa"/>
            </w:tcMar>
            <w:vAlign w:val="center"/>
          </w:tcPr>
          <w:p>
            <w:pPr>
              <w:spacing w:after="0" w:line="240" w:lineRule="auto"/>
            </w:pPr>
            <w:r>
              <w:rPr>
                <w:sz w:val="19"/>
              </w:rPr>
              <w:t>Single technical reference for the project concept, scientific rationale, and implementable methodology.</w:t>
            </w:r>
          </w:p>
        </w:tc>
      </w:tr>
      <w:tr>
        <w:tc>
          <w:tcPr>
            <w:tcW w:type="dxa" w:w="4824"/>
            <w:shd w:fill="EAF1F8"/>
            <w:tcMar>
              <w:top w:w="100" w:type="dxa"/>
              <w:start w:w="120" w:type="dxa"/>
              <w:bottom w:w="100" w:type="dxa"/>
              <w:end w:w="120" w:type="dxa"/>
            </w:tcMar>
            <w:vAlign w:val="center"/>
          </w:tcPr>
          <w:p>
            <w:pPr>
              <w:spacing w:after="0" w:line="240" w:lineRule="auto"/>
            </w:pPr>
            <w:r>
              <w:rPr>
                <w:b/>
                <w:color w:val="1F3A5F"/>
                <w:sz w:val="19"/>
              </w:rPr>
              <w:t>Current stance</w:t>
            </w:r>
          </w:p>
        </w:tc>
        <w:tc>
          <w:tcPr>
            <w:tcW w:type="dxa" w:w="4824"/>
            <w:tcMar>
              <w:top w:w="100" w:type="dxa"/>
              <w:start w:w="120" w:type="dxa"/>
              <w:bottom w:w="100" w:type="dxa"/>
              <w:end w:w="120" w:type="dxa"/>
            </w:tcMar>
            <w:vAlign w:val="center"/>
          </w:tcPr>
          <w:p>
            <w:pPr>
              <w:spacing w:after="0" w:line="240" w:lineRule="auto"/>
            </w:pPr>
            <w:r>
              <w:rPr>
                <w:sz w:val="19"/>
              </w:rPr>
              <w:t>Representation learning is dynamics-first (Phases A and B). Task-specific interpretation happens only downstream on the frozen latent space.</w:t>
            </w:r>
          </w:p>
        </w:tc>
      </w:tr>
    </w:tbl>
    <w:p>
      <w:pPr>
        <w:spacing w:after="120"/>
      </w:pPr>
    </w:p>
    <w:tbl>
      <w:tblPr>
        <w:tblW w:type="auto" w:w="0"/>
        <w:jc w:val="center"/>
        <w:tblLook w:firstColumn="1" w:firstRow="1" w:lastColumn="0" w:lastRow="0" w:noHBand="0" w:noVBand="1" w:val="04A0"/>
      </w:tblPr>
      <w:tblGrid>
        <w:gridCol w:w="9648"/>
      </w:tblGrid>
      <w:tr>
        <w:tc>
          <w:tcPr>
            <w:tcW w:type="dxa" w:w="9648"/>
            <w:shd w:fill="EAF1F8"/>
            <w:tcBorders>
              <w:start w:val="single" w:sz="16" w:color="8DA9C4"/>
              <w:top w:val="single" w:sz="16" w:color="8DA9C4"/>
              <w:end w:val="single" w:sz="16" w:color="8DA9C4"/>
              <w:bottom w:val="single" w:sz="16" w:color="8DA9C4"/>
            </w:tcBorders>
            <w:tcMar>
              <w:top w:w="120" w:type="dxa"/>
              <w:start w:w="160" w:type="dxa"/>
              <w:bottom w:w="120" w:type="dxa"/>
              <w:end w:w="160" w:type="dxa"/>
            </w:tcMar>
          </w:tcPr>
          <w:p>
            <w:pPr>
              <w:spacing w:after="60"/>
            </w:pPr>
            <w:r>
              <w:rPr>
                <w:b/>
                <w:color w:val="1F3A5F"/>
                <w:sz w:val="22"/>
              </w:rPr>
              <w:t>Core design decision</w:t>
            </w:r>
          </w:p>
          <w:p>
            <w:pPr>
              <w:spacing w:after="20" w:line="259" w:lineRule="auto"/>
              <w:ind w:left="144" w:hanging="144"/>
            </w:pPr>
            <w:r>
              <w:rPr>
                <w:b/>
                <w:color w:val="2F5D8C"/>
              </w:rPr>
              <w:t xml:space="preserve">• </w:t>
            </w:r>
            <w:r>
              <w:t>The encoder should learn a task-agnostic representation of predictive population dynamics.</w:t>
            </w:r>
          </w:p>
          <w:p>
            <w:pPr>
              <w:spacing w:after="20" w:line="259" w:lineRule="auto"/>
              <w:ind w:left="144" w:hanging="144"/>
            </w:pPr>
            <w:r>
              <w:rPr>
                <w:b/>
                <w:color w:val="2F5D8C"/>
              </w:rPr>
              <w:t xml:space="preserve">• </w:t>
            </w:r>
            <w:r>
              <w:t>Task labels should be used only after the encoder is frozen, as a downstream lens for motif discovery.</w:t>
            </w:r>
          </w:p>
          <w:p>
            <w:pPr>
              <w:spacing w:after="20" w:line="259" w:lineRule="auto"/>
              <w:ind w:left="144" w:hanging="144"/>
            </w:pPr>
            <w:r>
              <w:rPr>
                <w:b/>
                <w:color w:val="2F5D8C"/>
              </w:rPr>
              <w:t xml:space="preserve">• </w:t>
            </w:r>
            <w:r>
              <w:t>Motifs must remain recoverable as concrete neural population events, not only as abstract latent clusters.</w:t>
            </w:r>
          </w:p>
        </w:tc>
      </w:tr>
    </w:tbl>
    <w:p>
      <w:pPr>
        <w:spacing w:after="60"/>
      </w:pPr>
    </w:p>
    <w:p>
      <w:r>
        <w:br w:type="page"/>
      </w:r>
    </w:p>
    <w:p>
      <w:pPr>
        <w:pStyle w:val="Heading1"/>
      </w:pPr>
      <w:r>
        <w:t>1. Theoretical Motivation</w:t>
      </w:r>
    </w:p>
    <w:p>
      <w:pPr>
        <w:spacing w:after="140" w:line="269" w:lineRule="auto"/>
      </w:pPr>
      <w:r>
        <w:t>Predictive Circuit Coding addresses a gap between two common kinds of neural representation learning. One group of methods learns stable descriptions of neurons or sessions, which is useful for identity questions but suppresses trial-to-trial computation. Another group optimizes directly for decoding, which can recover task-relevant information but often gives little circuit-level interpretability. This project targets the middle ground: learn a representation organized around population dynamics, then interrogate it to identify recurring motifs associated with behavior, stimulus variables, or other biological outcomes.</w:t>
      </w:r>
    </w:p>
    <w:p>
      <w:pPr>
        <w:spacing w:after="140" w:line="269" w:lineRule="auto"/>
      </w:pPr>
      <w:r>
        <w:t>The central premise is that the most informative structure in large-scale recordings is often the coordinated change of many units over time rather than the average firing rate of a single unit. The encoder should therefore favor signals that help explain where the circuit is going next, while remaining anchored to the observed spike trains.</w:t>
      </w:r>
    </w:p>
    <w:p>
      <w:pPr>
        <w:spacing w:after="140" w:line="269" w:lineRule="auto"/>
      </w:pPr>
      <w:r>
        <w:t>A key revision in this formulation is to separate representation learning from task-specific interpretation. The encoder is trained only on population dynamics and reconstruction objectives. Label supervision is applied only after the encoder is frozen, as a downstream analysis lens. This preserves a cleaner claim: the base latent space is learned from neural dynamics, and the downstream analysis asks which parts of that space are most relevant for a chosen biological variable.</w:t>
      </w:r>
    </w:p>
    <w:p>
      <w:pPr>
        <w:spacing w:after="140" w:line="269" w:lineRule="auto"/>
      </w:pPr>
      <w:r>
        <w:t>The project is only useful if motifs remain tied to real neural events. Every step after the encoder must preserve a path back to specific units, patches, trials, probe depths, and raw spike patterns. Whenever a component pools too aggressively or warps the geometry too far away from the original representation, interpretability weakens.</w:t>
      </w:r>
    </w:p>
    <w:tbl>
      <w:tblPr>
        <w:tblStyle w:val="TableGrid"/>
        <w:tblW w:type="auto" w:w="0"/>
        <w:jc w:val="center"/>
        <w:tblLook w:firstColumn="1" w:firstRow="1" w:lastColumn="0" w:lastRow="0" w:noHBand="0" w:noVBand="1" w:val="04A0"/>
      </w:tblPr>
      <w:tblGrid>
        <w:gridCol w:w="4824"/>
        <w:gridCol w:w="4824"/>
      </w:tblGrid>
      <w:tr>
        <w:trPr>
          <w:cantSplit/>
        </w:trPr>
        <w:tc>
          <w:tcPr>
            <w:tcW w:type="dxa" w:w="4824"/>
            <w:shd w:fill="DCE6F1"/>
            <w:tcMar>
              <w:top w:w="90" w:type="dxa"/>
              <w:start w:w="110" w:type="dxa"/>
              <w:bottom w:w="90" w:type="dxa"/>
              <w:end w:w="110" w:type="dxa"/>
            </w:tcMar>
          </w:tcPr>
          <w:p>
            <w:pPr>
              <w:spacing w:after="0" w:line="240" w:lineRule="auto"/>
            </w:pPr>
            <w:r>
              <w:rPr>
                <w:b/>
                <w:color w:val="1F3A5F"/>
                <w:sz w:val="20"/>
              </w:rPr>
              <w:t>Design commitment</w:t>
            </w:r>
          </w:p>
        </w:tc>
        <w:tc>
          <w:tcPr>
            <w:tcW w:type="dxa" w:w="4824"/>
            <w:shd w:fill="DCE6F1"/>
            <w:tcMar>
              <w:top w:w="90" w:type="dxa"/>
              <w:start w:w="110" w:type="dxa"/>
              <w:bottom w:w="90" w:type="dxa"/>
              <w:end w:w="110" w:type="dxa"/>
            </w:tcMar>
          </w:tcPr>
          <w:p>
            <w:pPr>
              <w:spacing w:after="0" w:line="240" w:lineRule="auto"/>
            </w:pPr>
            <w:r>
              <w:rPr>
                <w:b/>
                <w:color w:val="1F3A5F"/>
                <w:sz w:val="20"/>
              </w:rPr>
              <w:t>Implication</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Core representation</w:t>
            </w:r>
          </w:p>
        </w:tc>
        <w:tc>
          <w:tcPr>
            <w:tcW w:type="dxa" w:w="4824"/>
            <w:tcMar>
              <w:top w:w="80" w:type="dxa"/>
              <w:start w:w="110" w:type="dxa"/>
              <w:bottom w:w="80" w:type="dxa"/>
              <w:end w:w="110" w:type="dxa"/>
            </w:tcMar>
            <w:vAlign w:val="center"/>
          </w:tcPr>
          <w:p>
            <w:pPr>
              <w:spacing w:after="0" w:line="240" w:lineRule="auto"/>
            </w:pPr>
            <w:r>
              <w:rPr>
                <w:sz w:val="18"/>
              </w:rPr>
              <w:t>Predictive dynamics plus reconstruction anchoring only; no label supervision in the encoder.</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Interpretation stage</w:t>
            </w:r>
          </w:p>
        </w:tc>
        <w:tc>
          <w:tcPr>
            <w:tcW w:type="dxa" w:w="4824"/>
            <w:tcMar>
              <w:top w:w="80" w:type="dxa"/>
              <w:start w:w="110" w:type="dxa"/>
              <w:bottom w:w="80" w:type="dxa"/>
              <w:end w:w="110" w:type="dxa"/>
            </w:tcMar>
            <w:vAlign w:val="center"/>
          </w:tcPr>
          <w:p>
            <w:pPr>
              <w:spacing w:after="0" w:line="240" w:lineRule="auto"/>
            </w:pPr>
            <w:r>
              <w:rPr>
                <w:sz w:val="18"/>
              </w:rPr>
              <w:t>Decode frozen tokens, rank relevant states, cluster only the relevant subset, and map motifs back to spikes.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Primary unit of analysis</w:t>
            </w:r>
          </w:p>
        </w:tc>
        <w:tc>
          <w:tcPr>
            <w:tcW w:type="dxa" w:w="4824"/>
            <w:tcMar>
              <w:top w:w="80" w:type="dxa"/>
              <w:start w:w="110" w:type="dxa"/>
              <w:bottom w:w="80" w:type="dxa"/>
              <w:end w:w="110" w:type="dxa"/>
            </w:tcMar>
            <w:vAlign w:val="center"/>
          </w:tcPr>
          <w:p>
            <w:pPr>
              <w:spacing w:after="0" w:line="240" w:lineRule="auto"/>
            </w:pPr>
            <w:r>
              <w:rPr>
                <w:sz w:val="18"/>
              </w:rPr>
              <w:t>A motif is a recurring token pattern tied to units, times, and trials.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Scientific claim</w:t>
            </w:r>
          </w:p>
        </w:tc>
        <w:tc>
          <w:tcPr>
            <w:tcW w:type="dxa" w:w="4824"/>
            <w:tcMar>
              <w:top w:w="80" w:type="dxa"/>
              <w:start w:w="110" w:type="dxa"/>
              <w:bottom w:w="80" w:type="dxa"/>
              <w:end w:w="110" w:type="dxa"/>
            </w:tcMar>
            <w:vAlign w:val="center"/>
          </w:tcPr>
          <w:p>
            <w:pPr>
              <w:spacing w:after="0" w:line="240" w:lineRule="auto"/>
            </w:pPr>
            <w:r>
              <w:rPr>
                <w:sz w:val="18"/>
              </w:rPr>
              <w:t>The method proposes candidate task-relevant circuit motifs; it does not prove causality from observation alone.</w:t>
            </w:r>
          </w:p>
        </w:tc>
      </w:tr>
    </w:tbl>
    <w:p>
      <w:pPr>
        <w:spacing w:after="40"/>
      </w:pPr>
    </w:p>
    <w:p>
      <w:pPr>
        <w:pStyle w:val="Heading1"/>
      </w:pPr>
      <w:r>
        <w:t>2. Methodology</w:t>
      </w:r>
    </w:p>
    <w:p>
      <w:pPr>
        <w:spacing w:after="140" w:line="269" w:lineRule="auto"/>
      </w:pPr>
      <w:r>
        <w:t>The methodology is organized into six layers: data specification and preprocessing; tokenization and window construction; encoder architecture; training objectives; downstream decoding and motif discovery; and validation. Each component is designed so that a codebase can be implemented modularly and tested independently.</w:t>
      </w:r>
    </w:p>
    <w:p>
      <w:pPr>
        <w:pStyle w:val="Heading2"/>
      </w:pPr>
      <w:r>
        <w:t>2.1 Data specification and preprocessing</w:t>
      </w:r>
    </w:p>
    <w:p>
      <w:pPr>
        <w:spacing w:after="140" w:line="269" w:lineRule="auto"/>
      </w:pPr>
      <w:r>
        <w:t>Input recordings should consist of sorted Neuropixels units with timestamps or binned spike counts, aligned to trial structure and behavioral variables when available. Minimum metadata per session should include session ID, animal ID, unit ID, probe depth, brain region, and the timing of relevant events such as stimulus onset, trial boundaries, or locomotion measurements.</w:t>
      </w:r>
    </w:p>
    <w:p>
      <w:pPr>
        <w:spacing w:after="140" w:line="269" w:lineRule="auto"/>
      </w:pPr>
      <w:r>
        <w:t>All spikes should be discretized at a fixed bin width. A strong default is 20 ms bins, which balances temporal resolution and tractable sequence length. A session is then represented as a matrix X of shape [T, N], where T is the total number of time bins and N is the number of sorted units in that session.</w:t>
      </w:r>
    </w:p>
    <w:p>
      <w:pPr>
        <w:spacing w:after="140" w:line="269" w:lineRule="auto"/>
      </w:pPr>
      <w:r>
        <w:t>The codebase should support session-local variability in unit count. Sessions do not need to share a consistent unit ordering. Brain-region labels, cell-type labels, or depth annotations should be stored as metadata rather than required as encoder inputs.</w:t>
      </w:r>
    </w:p>
    <w:tbl>
      <w:tblPr>
        <w:tblW w:type="auto" w:w="0"/>
        <w:jc w:val="center"/>
        <w:tblLook w:firstColumn="1" w:firstRow="1" w:lastColumn="0" w:lastRow="0" w:noHBand="0" w:noVBand="1" w:val="04A0"/>
      </w:tblPr>
      <w:tblGrid>
        <w:gridCol w:w="9648"/>
      </w:tblGrid>
      <w:tr>
        <w:tc>
          <w:tcPr>
            <w:tcW w:type="dxa" w:w="9648"/>
            <w:shd w:fill="EAF1F8"/>
            <w:tcBorders>
              <w:start w:val="single" w:sz="16" w:color="8DA9C4"/>
              <w:top w:val="single" w:sz="16" w:color="8DA9C4"/>
              <w:end w:val="single" w:sz="16" w:color="8DA9C4"/>
              <w:bottom w:val="single" w:sz="16" w:color="8DA9C4"/>
            </w:tcBorders>
            <w:tcMar>
              <w:top w:w="120" w:type="dxa"/>
              <w:start w:w="160" w:type="dxa"/>
              <w:bottom w:w="120" w:type="dxa"/>
              <w:end w:w="160" w:type="dxa"/>
            </w:tcMar>
          </w:tcPr>
          <w:p>
            <w:pPr>
              <w:spacing w:after="60"/>
            </w:pPr>
            <w:r>
              <w:rPr>
                <w:b/>
                <w:color w:val="1F3A5F"/>
                <w:sz w:val="22"/>
              </w:rPr>
              <w:t>Implementation requirement</w:t>
            </w:r>
          </w:p>
          <w:p>
            <w:pPr>
              <w:spacing w:after="20" w:line="259" w:lineRule="auto"/>
              <w:ind w:left="144" w:hanging="144"/>
            </w:pPr>
            <w:r>
              <w:rPr>
                <w:b/>
                <w:color w:val="2F5D8C"/>
              </w:rPr>
              <w:t xml:space="preserve">• </w:t>
            </w:r>
            <w:r>
              <w:t>Every token must keep reversible provenance back to session, unit, window start and end, patch index, trial context, and event alignment.</w:t>
            </w:r>
          </w:p>
          <w:p>
            <w:pPr>
              <w:spacing w:after="20" w:line="259" w:lineRule="auto"/>
              <w:ind w:left="144" w:hanging="144"/>
            </w:pPr>
            <w:r>
              <w:rPr>
                <w:b/>
                <w:color w:val="2F5D8C"/>
              </w:rPr>
              <w:t xml:space="preserve">• </w:t>
            </w:r>
            <w:r>
              <w:t>Without that mapping, the downstream motif analysis cannot be trusted.</w:t>
            </w:r>
          </w:p>
        </w:tc>
      </w:tr>
    </w:tbl>
    <w:p>
      <w:pPr>
        <w:spacing w:after="60"/>
      </w:pPr>
    </w:p>
    <w:p>
      <w:pPr>
        <w:spacing w:after="80" w:line="264" w:lineRule="auto"/>
        <w:ind w:left="288" w:hanging="259"/>
      </w:pPr>
      <w:r>
        <w:rPr>
          <w:b/>
        </w:rPr>
        <w:t xml:space="preserve">• </w:t>
      </w:r>
      <w:r>
        <w:t>Quality-control units using spike sorting metrics and minimum firing criteria; store exclusion masks rather than deleting provenance.</w:t>
      </w:r>
    </w:p>
    <w:p>
      <w:pPr>
        <w:spacing w:after="80" w:line="264" w:lineRule="auto"/>
        <w:ind w:left="288" w:hanging="259"/>
      </w:pPr>
      <w:r>
        <w:rPr>
          <w:b/>
        </w:rPr>
        <w:t xml:space="preserve">• </w:t>
      </w:r>
      <w:r>
        <w:t>Z-score or otherwise normalize auxiliary behavioral variables per session when appropriate, but do not normalize spike counts in a way that destroys count structure before tokenization.</w:t>
      </w:r>
    </w:p>
    <w:p>
      <w:pPr>
        <w:spacing w:after="80" w:line="264" w:lineRule="auto"/>
        <w:ind w:left="288" w:hanging="259"/>
      </w:pPr>
      <w:r>
        <w:rPr>
          <w:b/>
        </w:rPr>
        <w:t xml:space="preserve">• </w:t>
      </w:r>
      <w:r>
        <w:t>Construct explicit train, validation, and test splits at the session and trial level. If cross-session generalization is a goal, reserve held-out sessions rather than only random windows.</w:t>
      </w:r>
    </w:p>
    <w:p>
      <w:pPr>
        <w:pStyle w:val="Heading2"/>
      </w:pPr>
      <w:r>
        <w:t>2.2 Windowing and tokenization</w:t>
      </w:r>
    </w:p>
    <w:p>
      <w:pPr>
        <w:spacing w:after="140" w:line="269" w:lineRule="auto"/>
      </w:pPr>
      <w:r>
        <w:t>Define a context window of T_ctx bins ending at time t. A practical default is T_ctx = 500 bins, equivalent to 10 s at 20 ms resolution. Each unit contributes its spike counts over that window.</w:t>
      </w:r>
    </w:p>
    <w:p>
      <w:pPr>
        <w:spacing w:after="140" w:line="269" w:lineRule="auto"/>
      </w:pPr>
      <w:r>
        <w:t>Partition each unit's context window into non-overlapping temporal patches of length T_patch bins. A useful starting point is T_patch = 50 bins, or 1 s. This yields P = T_ctx / T_patch patches per unit per window. Each patch is linearly projected into a d-dimensional embedding.</w:t>
      </w:r>
    </w:p>
    <w:p>
      <w:pPr>
        <w:spacing w:after="140" w:line="269" w:lineRule="auto"/>
      </w:pPr>
      <w:r>
        <w:t>The key implementation decision is to preserve token locality. The encoder should output a token z[t,i,p] for unit i and patch p within the current window, and that patch-level tensor should remain available after the encoder. Do not mean-pool away the patch axis before the main motif pipeline.</w:t>
      </w:r>
    </w:p>
    <w:p>
      <w:r>
        <w:br w:type="page"/>
      </w:r>
    </w:p>
    <w:tbl>
      <w:tblPr>
        <w:tblStyle w:val="TableGrid"/>
        <w:tblW w:type="auto" w:w="0"/>
        <w:jc w:val="center"/>
        <w:tblLook w:firstColumn="1" w:firstRow="1" w:lastColumn="0" w:lastRow="0" w:noHBand="0" w:noVBand="1" w:val="04A0"/>
      </w:tblPr>
      <w:tblGrid>
        <w:gridCol w:w="4824"/>
        <w:gridCol w:w="4824"/>
      </w:tblGrid>
      <w:tr>
        <w:trPr>
          <w:cantSplit/>
        </w:trPr>
        <w:tc>
          <w:tcPr>
            <w:tcW w:type="dxa" w:w="4824"/>
            <w:shd w:fill="DCE6F1"/>
            <w:tcMar>
              <w:top w:w="90" w:type="dxa"/>
              <w:start w:w="110" w:type="dxa"/>
              <w:bottom w:w="90" w:type="dxa"/>
              <w:end w:w="110" w:type="dxa"/>
            </w:tcMar>
          </w:tcPr>
          <w:p>
            <w:pPr>
              <w:spacing w:after="0" w:line="240" w:lineRule="auto"/>
            </w:pPr>
            <w:r>
              <w:rPr>
                <w:b/>
                <w:color w:val="1F3A5F"/>
                <w:sz w:val="20"/>
              </w:rPr>
              <w:t>Component</w:t>
            </w:r>
          </w:p>
        </w:tc>
        <w:tc>
          <w:tcPr>
            <w:tcW w:type="dxa" w:w="4824"/>
            <w:shd w:fill="DCE6F1"/>
            <w:tcMar>
              <w:top w:w="90" w:type="dxa"/>
              <w:start w:w="110" w:type="dxa"/>
              <w:bottom w:w="90" w:type="dxa"/>
              <w:end w:w="110" w:type="dxa"/>
            </w:tcMar>
          </w:tcPr>
          <w:p>
            <w:pPr>
              <w:spacing w:after="0" w:line="240" w:lineRule="auto"/>
            </w:pPr>
            <w:r>
              <w:rPr>
                <w:b/>
                <w:color w:val="1F3A5F"/>
                <w:sz w:val="20"/>
              </w:rPr>
              <w:t>Recommended form</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Default bin width</w:t>
            </w:r>
          </w:p>
        </w:tc>
        <w:tc>
          <w:tcPr>
            <w:tcW w:type="dxa" w:w="4824"/>
            <w:tcMar>
              <w:top w:w="80" w:type="dxa"/>
              <w:start w:w="110" w:type="dxa"/>
              <w:bottom w:w="80" w:type="dxa"/>
              <w:end w:w="110" w:type="dxa"/>
            </w:tcMar>
            <w:vAlign w:val="center"/>
          </w:tcPr>
          <w:p>
            <w:pPr>
              <w:spacing w:after="0" w:line="240" w:lineRule="auto"/>
            </w:pPr>
            <w:r>
              <w:rPr>
                <w:sz w:val="18"/>
              </w:rPr>
              <w:t>dt = 20 ms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Context length</w:t>
            </w:r>
          </w:p>
        </w:tc>
        <w:tc>
          <w:tcPr>
            <w:tcW w:type="dxa" w:w="4824"/>
            <w:tcMar>
              <w:top w:w="80" w:type="dxa"/>
              <w:start w:w="110" w:type="dxa"/>
              <w:bottom w:w="80" w:type="dxa"/>
              <w:end w:w="110" w:type="dxa"/>
            </w:tcMar>
            <w:vAlign w:val="center"/>
          </w:tcPr>
          <w:p>
            <w:pPr>
              <w:spacing w:after="0" w:line="240" w:lineRule="auto"/>
            </w:pPr>
            <w:r>
              <w:rPr>
                <w:sz w:val="18"/>
              </w:rPr>
              <w:t>T_ctx = 500 bins = 10 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Patch length</w:t>
            </w:r>
          </w:p>
        </w:tc>
        <w:tc>
          <w:tcPr>
            <w:tcW w:type="dxa" w:w="4824"/>
            <w:tcMar>
              <w:top w:w="80" w:type="dxa"/>
              <w:start w:w="110" w:type="dxa"/>
              <w:bottom w:w="80" w:type="dxa"/>
              <w:end w:w="110" w:type="dxa"/>
            </w:tcMar>
            <w:vAlign w:val="center"/>
          </w:tcPr>
          <w:p>
            <w:pPr>
              <w:spacing w:after="0" w:line="240" w:lineRule="auto"/>
            </w:pPr>
            <w:r>
              <w:rPr>
                <w:sz w:val="18"/>
              </w:rPr>
              <w:t>T_patch = 50 bins = 1 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Patches per window</w:t>
            </w:r>
          </w:p>
        </w:tc>
        <w:tc>
          <w:tcPr>
            <w:tcW w:type="dxa" w:w="4824"/>
            <w:tcMar>
              <w:top w:w="80" w:type="dxa"/>
              <w:start w:w="110" w:type="dxa"/>
              <w:bottom w:w="80" w:type="dxa"/>
              <w:end w:w="110" w:type="dxa"/>
            </w:tcMar>
            <w:vAlign w:val="center"/>
          </w:tcPr>
          <w:p>
            <w:pPr>
              <w:spacing w:after="0" w:line="240" w:lineRule="auto"/>
            </w:pPr>
            <w:r>
              <w:rPr>
                <w:sz w:val="18"/>
              </w:rPr>
              <w:t>P = T_ctx / T_patch</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Token dimension</w:t>
            </w:r>
          </w:p>
        </w:tc>
        <w:tc>
          <w:tcPr>
            <w:tcW w:type="dxa" w:w="4824"/>
            <w:tcMar>
              <w:top w:w="80" w:type="dxa"/>
              <w:start w:w="110" w:type="dxa"/>
              <w:bottom w:w="80" w:type="dxa"/>
              <w:end w:w="110" w:type="dxa"/>
            </w:tcMar>
            <w:vAlign w:val="center"/>
          </w:tcPr>
          <w:p>
            <w:pPr>
              <w:spacing w:after="0" w:line="240" w:lineRule="auto"/>
            </w:pPr>
            <w:r>
              <w:rPr>
                <w:sz w:val="18"/>
              </w:rPr>
              <w:t>d = 256 (configurable)</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Token identity</w:t>
            </w:r>
          </w:p>
        </w:tc>
        <w:tc>
          <w:tcPr>
            <w:tcW w:type="dxa" w:w="4824"/>
            <w:tcMar>
              <w:top w:w="80" w:type="dxa"/>
              <w:start w:w="110" w:type="dxa"/>
              <w:bottom w:w="80" w:type="dxa"/>
              <w:end w:w="110" w:type="dxa"/>
            </w:tcMar>
            <w:vAlign w:val="center"/>
          </w:tcPr>
          <w:p>
            <w:pPr>
              <w:spacing w:after="0" w:line="240" w:lineRule="auto"/>
            </w:pPr>
            <w:r>
              <w:rPr>
                <w:sz w:val="18"/>
              </w:rPr>
              <w:t>z[t,i,p] corresponds to unit i and patch p within window ending at t</w:t>
            </w:r>
          </w:p>
        </w:tc>
      </w:tr>
    </w:tbl>
    <w:p>
      <w:pPr>
        <w:spacing w:after="40"/>
      </w:pPr>
    </w:p>
    <w:p>
      <w:pPr>
        <w:pStyle w:val="Heading2"/>
      </w:pPr>
      <w:r>
        <w:t>2.3 Encoder architecture</w:t>
      </w:r>
    </w:p>
    <w:p>
      <w:pPr>
        <w:spacing w:after="140" w:line="269" w:lineRule="auto"/>
      </w:pPr>
      <w:r>
        <w:t>The encoder is a spatiotemporal transformer with two stages. First, temporal self-attention is applied independently within each unit's patch sequence. This lets each token incorporate recent history before cross-unit information is introduced. Rotary position embeddings are recommended for the temporal axis.</w:t>
      </w:r>
    </w:p>
    <w:p>
      <w:pPr>
        <w:spacing w:after="140" w:line="269" w:lineRule="auto"/>
      </w:pPr>
      <w:r>
        <w:t>Second, one or more spatiotemporal blocks alternate spatial attention across units at a fixed patch index with temporal attention within each unit. Spatial attention should be relational: tokens at the same patch index attend across units without assuming a fixed physical adjacency structure. Temporal attention remains causally masked.</w:t>
      </w:r>
    </w:p>
    <w:p>
      <w:pPr>
        <w:spacing w:after="140" w:line="269" w:lineRule="auto"/>
      </w:pPr>
      <w:r>
        <w:t>The output of the final block is a tensor Z with shape [batch, units, patches, d]. Each token should be L2-normalized before downstream use so cosine geometry is meaningful and scores are less dominated by amplitude.</w:t>
      </w:r>
    </w:p>
    <w:tbl>
      <w:tblPr>
        <w:tblStyle w:val="TableGrid"/>
        <w:tblW w:type="auto" w:w="0"/>
        <w:jc w:val="center"/>
        <w:tblLook w:firstColumn="1" w:firstRow="1" w:lastColumn="0" w:lastRow="0" w:noHBand="0" w:noVBand="1" w:val="04A0"/>
      </w:tblPr>
      <w:tblGrid>
        <w:gridCol w:w="4824"/>
        <w:gridCol w:w="4824"/>
      </w:tblGrid>
      <w:tr>
        <w:trPr>
          <w:cantSplit/>
        </w:trPr>
        <w:tc>
          <w:tcPr>
            <w:tcW w:type="dxa" w:w="4824"/>
            <w:shd w:fill="DCE6F1"/>
            <w:tcMar>
              <w:top w:w="90" w:type="dxa"/>
              <w:start w:w="110" w:type="dxa"/>
              <w:bottom w:w="90" w:type="dxa"/>
              <w:end w:w="110" w:type="dxa"/>
            </w:tcMar>
          </w:tcPr>
          <w:p>
            <w:pPr>
              <w:spacing w:after="0" w:line="240" w:lineRule="auto"/>
            </w:pPr>
            <w:r>
              <w:rPr>
                <w:b/>
                <w:color w:val="1F3A5F"/>
                <w:sz w:val="20"/>
              </w:rPr>
              <w:t>Component</w:t>
            </w:r>
          </w:p>
        </w:tc>
        <w:tc>
          <w:tcPr>
            <w:tcW w:type="dxa" w:w="4824"/>
            <w:shd w:fill="DCE6F1"/>
            <w:tcMar>
              <w:top w:w="90" w:type="dxa"/>
              <w:start w:w="110" w:type="dxa"/>
              <w:bottom w:w="90" w:type="dxa"/>
              <w:end w:w="110" w:type="dxa"/>
            </w:tcMar>
          </w:tcPr>
          <w:p>
            <w:pPr>
              <w:spacing w:after="0" w:line="240" w:lineRule="auto"/>
            </w:pPr>
            <w:r>
              <w:rPr>
                <w:b/>
                <w:color w:val="1F3A5F"/>
                <w:sz w:val="20"/>
              </w:rPr>
              <w:t>Recommended implementation</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Input tensor</w:t>
            </w:r>
          </w:p>
        </w:tc>
        <w:tc>
          <w:tcPr>
            <w:tcW w:type="dxa" w:w="4824"/>
            <w:tcMar>
              <w:top w:w="80" w:type="dxa"/>
              <w:start w:w="110" w:type="dxa"/>
              <w:bottom w:w="80" w:type="dxa"/>
              <w:end w:w="110" w:type="dxa"/>
            </w:tcMar>
            <w:vAlign w:val="center"/>
          </w:tcPr>
          <w:p>
            <w:pPr>
              <w:spacing w:after="0" w:line="240" w:lineRule="auto"/>
            </w:pPr>
            <w:r>
              <w:rPr>
                <w:sz w:val="18"/>
              </w:rPr>
              <w:t>[batch, units, patches, patch_bins] before linear projection</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Patch embedding</w:t>
            </w:r>
          </w:p>
        </w:tc>
        <w:tc>
          <w:tcPr>
            <w:tcW w:type="dxa" w:w="4824"/>
            <w:tcMar>
              <w:top w:w="80" w:type="dxa"/>
              <w:start w:w="110" w:type="dxa"/>
              <w:bottom w:w="80" w:type="dxa"/>
              <w:end w:w="110" w:type="dxa"/>
            </w:tcMar>
            <w:vAlign w:val="center"/>
          </w:tcPr>
          <w:p>
            <w:pPr>
              <w:spacing w:after="0" w:line="240" w:lineRule="auto"/>
            </w:pPr>
            <w:r>
              <w:rPr>
                <w:sz w:val="18"/>
              </w:rPr>
              <w:t>Linear layer from T_patch to d, optionally followed by layer norm</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Per-unit temporal stack</w:t>
            </w:r>
          </w:p>
        </w:tc>
        <w:tc>
          <w:tcPr>
            <w:tcW w:type="dxa" w:w="4824"/>
            <w:tcMar>
              <w:top w:w="80" w:type="dxa"/>
              <w:start w:w="110" w:type="dxa"/>
              <w:bottom w:w="80" w:type="dxa"/>
              <w:end w:w="110" w:type="dxa"/>
            </w:tcMar>
            <w:vAlign w:val="center"/>
          </w:tcPr>
          <w:p>
            <w:pPr>
              <w:spacing w:after="0" w:line="240" w:lineRule="auto"/>
            </w:pPr>
            <w:r>
              <w:rPr>
                <w:sz w:val="18"/>
              </w:rPr>
              <w:t>L_T masked self-attention layers with rotary position encoding</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Spatiotemporal stack</w:t>
            </w:r>
          </w:p>
        </w:tc>
        <w:tc>
          <w:tcPr>
            <w:tcW w:type="dxa" w:w="4824"/>
            <w:tcMar>
              <w:top w:w="80" w:type="dxa"/>
              <w:start w:w="110" w:type="dxa"/>
              <w:bottom w:w="80" w:type="dxa"/>
              <w:end w:w="110" w:type="dxa"/>
            </w:tcMar>
            <w:vAlign w:val="center"/>
          </w:tcPr>
          <w:p>
            <w:pPr>
              <w:spacing w:after="0" w:line="240" w:lineRule="auto"/>
            </w:pPr>
            <w:r>
              <w:rPr>
                <w:sz w:val="18"/>
              </w:rPr>
              <w:t>L_ST repeated blocks of spatial attention across units then temporal attention within units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Normalization</w:t>
            </w:r>
          </w:p>
        </w:tc>
        <w:tc>
          <w:tcPr>
            <w:tcW w:type="dxa" w:w="4824"/>
            <w:tcMar>
              <w:top w:w="80" w:type="dxa"/>
              <w:start w:w="110" w:type="dxa"/>
              <w:bottom w:w="80" w:type="dxa"/>
              <w:end w:w="110" w:type="dxa"/>
            </w:tcMar>
            <w:vAlign w:val="center"/>
          </w:tcPr>
          <w:p>
            <w:pPr>
              <w:spacing w:after="0" w:line="240" w:lineRule="auto"/>
            </w:pPr>
            <w:r>
              <w:rPr>
                <w:sz w:val="18"/>
              </w:rPr>
              <w:t>Layer norm within blocks; final L2 normalization on each token</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Output</w:t>
            </w:r>
          </w:p>
        </w:tc>
        <w:tc>
          <w:tcPr>
            <w:tcW w:type="dxa" w:w="4824"/>
            <w:tcMar>
              <w:top w:w="80" w:type="dxa"/>
              <w:start w:w="110" w:type="dxa"/>
              <w:bottom w:w="80" w:type="dxa"/>
              <w:end w:w="110" w:type="dxa"/>
            </w:tcMar>
            <w:vAlign w:val="center"/>
          </w:tcPr>
          <w:p>
            <w:pPr>
              <w:spacing w:after="0" w:line="240" w:lineRule="auto"/>
            </w:pPr>
            <w:r>
              <w:rPr>
                <w:sz w:val="18"/>
              </w:rPr>
              <w:t>Frozen token tensor Z in R^(batch x N x P x d)</w:t>
            </w:r>
          </w:p>
        </w:tc>
      </w:tr>
    </w:tbl>
    <w:p>
      <w:pPr>
        <w:spacing w:after="40"/>
      </w:pPr>
    </w:p>
    <w:p>
      <w:pPr>
        <w:pStyle w:val="Heading2"/>
      </w:pPr>
      <w:r>
        <w:t>2.4 Training objectives</w:t>
      </w:r>
    </w:p>
    <w:p>
      <w:pPr>
        <w:spacing w:after="140" w:line="269" w:lineRule="auto"/>
      </w:pPr>
      <w:r>
        <w:t>Representation learning uses two phases only. Phase A is the primary objective and trains the encoder to represent computationally relevant state information. Phase B is an anchoring loss that prevents the latent space from drifting too far from the observed neural activity. No task-label supervision is applied during encoder training.</w:t>
      </w:r>
    </w:p>
    <w:p>
      <w:pPr>
        <w:spacing w:after="140" w:line="269" w:lineRule="auto"/>
      </w:pPr>
      <w:r>
        <w:t>Phase A: predictive dynamics. For each token z[t,i,p], the model predicts a future state-change target for the same unit over the next patch or horizon. The target should emphasize residual state change rather than trivial continuation. A practical implementation is to compute a continuation baseline for each unit and subtract it from the observed future activity.</w:t>
      </w:r>
    </w:p>
    <w:p>
      <w:pPr>
        <w:spacing w:after="140" w:line="269" w:lineRule="auto"/>
      </w:pPr>
      <w:r>
        <w:t>Phase B: reconstruction anchoring. A second lightweight decoder reconstructs the current activity patch from the same token. This term should be weaker than the predictive objective, for example with a coefficient around 0.2 relative to Phase A. The goal is not perfect autoencoding; it is to keep the representation grounded in the spike trains.</w:t>
      </w:r>
    </w:p>
    <w:tbl>
      <w:tblPr>
        <w:tblStyle w:val="TableGrid"/>
        <w:tblW w:type="auto" w:w="0"/>
        <w:jc w:val="center"/>
        <w:tblLook w:firstColumn="1" w:firstRow="1" w:lastColumn="0" w:lastRow="0" w:noHBand="0" w:noVBand="1" w:val="04A0"/>
      </w:tblPr>
      <w:tblGrid>
        <w:gridCol w:w="4824"/>
        <w:gridCol w:w="4824"/>
      </w:tblGrid>
      <w:tr>
        <w:trPr>
          <w:cantSplit/>
        </w:trPr>
        <w:tc>
          <w:tcPr>
            <w:tcW w:type="dxa" w:w="4824"/>
            <w:shd w:fill="DCE6F1"/>
            <w:tcMar>
              <w:top w:w="90" w:type="dxa"/>
              <w:start w:w="110" w:type="dxa"/>
              <w:bottom w:w="90" w:type="dxa"/>
              <w:end w:w="110" w:type="dxa"/>
            </w:tcMar>
          </w:tcPr>
          <w:p>
            <w:pPr>
              <w:spacing w:after="0" w:line="240" w:lineRule="auto"/>
            </w:pPr>
            <w:r>
              <w:rPr>
                <w:b/>
                <w:color w:val="1F3A5F"/>
                <w:sz w:val="20"/>
              </w:rPr>
              <w:t>Component</w:t>
            </w:r>
          </w:p>
        </w:tc>
        <w:tc>
          <w:tcPr>
            <w:tcW w:type="dxa" w:w="4824"/>
            <w:shd w:fill="DCE6F1"/>
            <w:tcMar>
              <w:top w:w="90" w:type="dxa"/>
              <w:start w:w="110" w:type="dxa"/>
              <w:bottom w:w="90" w:type="dxa"/>
              <w:end w:w="110" w:type="dxa"/>
            </w:tcMar>
          </w:tcPr>
          <w:p>
            <w:pPr>
              <w:spacing w:after="0" w:line="240" w:lineRule="auto"/>
            </w:pPr>
            <w:r>
              <w:rPr>
                <w:b/>
                <w:color w:val="1F3A5F"/>
                <w:sz w:val="20"/>
              </w:rPr>
              <w:t>Recommended form</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Patch embedding</w:t>
            </w:r>
          </w:p>
        </w:tc>
        <w:tc>
          <w:tcPr>
            <w:tcW w:type="dxa" w:w="4824"/>
            <w:tcMar>
              <w:top w:w="80" w:type="dxa"/>
              <w:start w:w="110" w:type="dxa"/>
              <w:bottom w:w="80" w:type="dxa"/>
              <w:end w:w="110" w:type="dxa"/>
            </w:tcMar>
            <w:vAlign w:val="center"/>
          </w:tcPr>
          <w:p>
            <w:pPr>
              <w:spacing w:after="0" w:line="240" w:lineRule="auto"/>
            </w:pPr>
            <w:r>
              <w:rPr>
                <w:sz w:val="18"/>
              </w:rPr>
              <w:t>e[t,i,p] = W_proj x[t,i,p] + b_proj</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Predictive token</w:t>
            </w:r>
          </w:p>
        </w:tc>
        <w:tc>
          <w:tcPr>
            <w:tcW w:type="dxa" w:w="4824"/>
            <w:tcMar>
              <w:top w:w="80" w:type="dxa"/>
              <w:start w:w="110" w:type="dxa"/>
              <w:bottom w:w="80" w:type="dxa"/>
              <w:end w:w="110" w:type="dxa"/>
            </w:tcMar>
            <w:vAlign w:val="center"/>
          </w:tcPr>
          <w:p>
            <w:pPr>
              <w:spacing w:after="0" w:line="240" w:lineRule="auto"/>
            </w:pPr>
            <w:r>
              <w:rPr>
                <w:sz w:val="18"/>
              </w:rPr>
              <w:t>z[t,i,p] = F_theta(X_window)[i,p], followed by L2 normalization</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Delta target</w:t>
            </w:r>
          </w:p>
        </w:tc>
        <w:tc>
          <w:tcPr>
            <w:tcW w:type="dxa" w:w="4824"/>
            <w:tcMar>
              <w:top w:w="80" w:type="dxa"/>
              <w:start w:w="110" w:type="dxa"/>
              <w:bottom w:w="80" w:type="dxa"/>
              <w:end w:w="110" w:type="dxa"/>
            </w:tcMar>
            <w:vAlign w:val="center"/>
          </w:tcPr>
          <w:p>
            <w:pPr>
              <w:spacing w:after="0" w:line="240" w:lineRule="auto"/>
            </w:pPr>
            <w:r>
              <w:rPr>
                <w:sz w:val="18"/>
              </w:rPr>
              <w:t>delta[t+1,i,p] = a[t+1,i,p] - a_hat_cont[t+1,i,p]</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Predictive loss</w:t>
            </w:r>
          </w:p>
        </w:tc>
        <w:tc>
          <w:tcPr>
            <w:tcW w:type="dxa" w:w="4824"/>
            <w:tcMar>
              <w:top w:w="80" w:type="dxa"/>
              <w:start w:w="110" w:type="dxa"/>
              <w:bottom w:w="80" w:type="dxa"/>
              <w:end w:w="110" w:type="dxa"/>
            </w:tcMar>
            <w:vAlign w:val="center"/>
          </w:tcPr>
          <w:p>
            <w:pPr>
              <w:spacing w:after="0" w:line="240" w:lineRule="auto"/>
            </w:pPr>
            <w:r>
              <w:rPr>
                <w:sz w:val="18"/>
              </w:rPr>
              <w:t>L_pred = mean_{t,i,p} (1 - cos(D_pred(z[t,i,p]), delta[t+1,i,p]))</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Reconstruction loss</w:t>
            </w:r>
          </w:p>
        </w:tc>
        <w:tc>
          <w:tcPr>
            <w:tcW w:type="dxa" w:w="4824"/>
            <w:tcMar>
              <w:top w:w="80" w:type="dxa"/>
              <w:start w:w="110" w:type="dxa"/>
              <w:bottom w:w="80" w:type="dxa"/>
              <w:end w:w="110" w:type="dxa"/>
            </w:tcMar>
            <w:vAlign w:val="center"/>
          </w:tcPr>
          <w:p>
            <w:pPr>
              <w:spacing w:after="0" w:line="240" w:lineRule="auto"/>
            </w:pPr>
            <w:r>
              <w:rPr>
                <w:sz w:val="18"/>
              </w:rPr>
              <w:t>L_rec = mean_{t,i,p} || D_rec(z[t,i,p]) - a[t,i,p] ||_2^2</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Training objective</w:t>
            </w:r>
          </w:p>
        </w:tc>
        <w:tc>
          <w:tcPr>
            <w:tcW w:type="dxa" w:w="4824"/>
            <w:tcMar>
              <w:top w:w="80" w:type="dxa"/>
              <w:start w:w="110" w:type="dxa"/>
              <w:bottom w:w="80" w:type="dxa"/>
              <w:end w:w="110" w:type="dxa"/>
            </w:tcMar>
            <w:vAlign w:val="center"/>
          </w:tcPr>
          <w:p>
            <w:pPr>
              <w:spacing w:after="0" w:line="240" w:lineRule="auto"/>
            </w:pPr>
            <w:r>
              <w:rPr>
                <w:sz w:val="18"/>
              </w:rPr>
              <w:t>L_total = lambda_pred * L_pred + lambda_rec * L_rec</w:t>
            </w:r>
          </w:p>
        </w:tc>
      </w:tr>
    </w:tbl>
    <w:p>
      <w:pPr>
        <w:spacing w:after="40"/>
      </w:pPr>
    </w:p>
    <w:tbl>
      <w:tblPr>
        <w:tblW w:type="auto" w:w="0"/>
        <w:jc w:val="center"/>
        <w:tblLook w:firstColumn="1" w:firstRow="1" w:lastColumn="0" w:lastRow="0" w:noHBand="0" w:noVBand="1" w:val="04A0"/>
      </w:tblPr>
      <w:tblGrid>
        <w:gridCol w:w="9648"/>
      </w:tblGrid>
      <w:tr>
        <w:tc>
          <w:tcPr>
            <w:tcW w:type="dxa" w:w="9648"/>
            <w:shd w:fill="EAF1F8"/>
            <w:tcBorders>
              <w:start w:val="single" w:sz="16" w:color="8DA9C4"/>
              <w:top w:val="single" w:sz="16" w:color="8DA9C4"/>
              <w:end w:val="single" w:sz="16" w:color="8DA9C4"/>
              <w:bottom w:val="single" w:sz="16" w:color="8DA9C4"/>
            </w:tcBorders>
            <w:tcMar>
              <w:top w:w="120" w:type="dxa"/>
              <w:start w:w="160" w:type="dxa"/>
              <w:bottom w:w="120" w:type="dxa"/>
              <w:end w:w="160" w:type="dxa"/>
            </w:tcMar>
          </w:tcPr>
          <w:p>
            <w:pPr>
              <w:spacing w:after="60"/>
            </w:pPr>
            <w:r>
              <w:rPr>
                <w:b/>
                <w:color w:val="1F3A5F"/>
                <w:sz w:val="22"/>
              </w:rPr>
              <w:t>Priority risk to verify early</w:t>
            </w:r>
          </w:p>
          <w:p>
            <w:pPr>
              <w:spacing w:after="20" w:line="259" w:lineRule="auto"/>
              <w:ind w:left="144" w:hanging="144"/>
            </w:pPr>
            <w:r>
              <w:rPr>
                <w:b/>
                <w:color w:val="2F5D8C"/>
              </w:rPr>
              <w:t xml:space="preserve">• </w:t>
            </w:r>
            <w:r>
              <w:t>Implement at least three continuation baselines: per-unit mean, local single-unit baseline, and raw-population baseline.</w:t>
            </w:r>
          </w:p>
          <w:p>
            <w:pPr>
              <w:spacing w:after="20" w:line="259" w:lineRule="auto"/>
              <w:ind w:left="144" w:hanging="144"/>
            </w:pPr>
            <w:r>
              <w:rPr>
                <w:b/>
                <w:color w:val="2F5D8C"/>
              </w:rPr>
              <w:t xml:space="preserve">• </w:t>
            </w:r>
            <w:r>
              <w:t>Gate later analysis on the model beating these baselines on held-out data.</w:t>
            </w:r>
          </w:p>
          <w:p>
            <w:pPr>
              <w:spacing w:after="20" w:line="259" w:lineRule="auto"/>
              <w:ind w:left="144" w:hanging="144"/>
            </w:pPr>
            <w:r>
              <w:rPr>
                <w:b/>
                <w:color w:val="2F5D8C"/>
              </w:rPr>
              <w:t xml:space="preserve">• </w:t>
            </w:r>
            <w:r>
              <w:t>Treat target construction as a first-class experiment and compare motif stability across continuation choices.</w:t>
            </w:r>
          </w:p>
        </w:tc>
      </w:tr>
    </w:tbl>
    <w:p>
      <w:pPr>
        <w:spacing w:after="60"/>
      </w:pPr>
    </w:p>
    <w:p>
      <w:pPr>
        <w:pStyle w:val="Heading2"/>
      </w:pPr>
      <w:r>
        <w:t>2.5 Downstream decoding and motif discovery</w:t>
      </w:r>
    </w:p>
    <w:p>
      <w:pPr>
        <w:spacing w:after="140" w:line="269" w:lineRule="auto"/>
      </w:pPr>
      <w:r>
        <w:t>After representation learning converges, freeze the encoder. All task-specific analyses operate on the frozen patch-level token tensor. This preserves the claim that the base latent space was learned from dynamics rather than from the chosen label.</w:t>
      </w:r>
    </w:p>
    <w:p>
      <w:pPr>
        <w:spacing w:after="140" w:line="269" w:lineRule="auto"/>
      </w:pPr>
      <w:r>
        <w:t>For a scientific variable y, train a simple additive linear decoder on top of frozen tokens. The decoder should aggregate token contributions over a task-relevant window while sharing the same weight vector across tokens. This keeps the parameter count low and makes token-level attribution exact under the model.</w:t>
      </w:r>
    </w:p>
    <w:p>
      <w:pPr>
        <w:spacing w:after="140" w:line="269" w:lineRule="auto"/>
      </w:pPr>
      <w:r>
        <w:t>For binary prediction, a minimal form is score(x) = sum over relevant tokens of w^T z[t,i,p] + b. For multiclass prediction, use one weight vector per class and compute class-specific token contributions. The relevant score is therefore not the probe weight alone, but the actual contribution of a token along the probe direction.</w:t>
      </w:r>
    </w:p>
    <w:p>
      <w:pPr>
        <w:spacing w:after="140" w:line="269" w:lineRule="auto"/>
      </w:pPr>
      <w:r>
        <w:t>Motif discovery then proceeds in three steps: rank tokens by contribution magnitude for the chosen variable, select a sparse high-contribution subset, and cluster only that subset in the original frozen latent space. Each motif cluster must then be reconstructed in raw neural terms.</w:t>
      </w:r>
    </w:p>
    <w:tbl>
      <w:tblPr>
        <w:tblStyle w:val="TableGrid"/>
        <w:tblW w:type="auto" w:w="0"/>
        <w:jc w:val="center"/>
        <w:tblLook w:firstColumn="1" w:firstRow="1" w:lastColumn="0" w:lastRow="0" w:noHBand="0" w:noVBand="1" w:val="04A0"/>
      </w:tblPr>
      <w:tblGrid>
        <w:gridCol w:w="4824"/>
        <w:gridCol w:w="4824"/>
      </w:tblGrid>
      <w:tr>
        <w:trPr>
          <w:cantSplit/>
        </w:trPr>
        <w:tc>
          <w:tcPr>
            <w:tcW w:type="dxa" w:w="4824"/>
            <w:shd w:fill="DCE6F1"/>
            <w:tcMar>
              <w:top w:w="90" w:type="dxa"/>
              <w:start w:w="110" w:type="dxa"/>
              <w:bottom w:w="90" w:type="dxa"/>
              <w:end w:w="110" w:type="dxa"/>
            </w:tcMar>
          </w:tcPr>
          <w:p>
            <w:pPr>
              <w:spacing w:after="0" w:line="240" w:lineRule="auto"/>
            </w:pPr>
            <w:r>
              <w:rPr>
                <w:b/>
                <w:color w:val="1F3A5F"/>
                <w:sz w:val="20"/>
              </w:rPr>
              <w:t>Step</w:t>
            </w:r>
          </w:p>
        </w:tc>
        <w:tc>
          <w:tcPr>
            <w:tcW w:type="dxa" w:w="4824"/>
            <w:shd w:fill="DCE6F1"/>
            <w:tcMar>
              <w:top w:w="90" w:type="dxa"/>
              <w:start w:w="110" w:type="dxa"/>
              <w:bottom w:w="90" w:type="dxa"/>
              <w:end w:w="110" w:type="dxa"/>
            </w:tcMar>
          </w:tcPr>
          <w:p>
            <w:pPr>
              <w:spacing w:after="0" w:line="240" w:lineRule="auto"/>
            </w:pPr>
            <w:r>
              <w:rPr>
                <w:b/>
                <w:color w:val="1F3A5F"/>
                <w:sz w:val="20"/>
              </w:rPr>
              <w:t>Recommended implementation</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Decoder</w:t>
            </w:r>
          </w:p>
        </w:tc>
        <w:tc>
          <w:tcPr>
            <w:tcW w:type="dxa" w:w="4824"/>
            <w:tcMar>
              <w:top w:w="80" w:type="dxa"/>
              <w:start w:w="110" w:type="dxa"/>
              <w:bottom w:w="80" w:type="dxa"/>
              <w:end w:w="110" w:type="dxa"/>
            </w:tcMar>
            <w:vAlign w:val="center"/>
          </w:tcPr>
          <w:p>
            <w:pPr>
              <w:spacing w:after="0" w:line="240" w:lineRule="auto"/>
            </w:pPr>
            <w:r>
              <w:rPr>
                <w:sz w:val="18"/>
              </w:rPr>
              <w:t>Shared linear additive readout on frozen patch-level tokens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Token relevance</w:t>
            </w:r>
          </w:p>
        </w:tc>
        <w:tc>
          <w:tcPr>
            <w:tcW w:type="dxa" w:w="4824"/>
            <w:tcMar>
              <w:top w:w="80" w:type="dxa"/>
              <w:start w:w="110" w:type="dxa"/>
              <w:bottom w:w="80" w:type="dxa"/>
              <w:end w:w="110" w:type="dxa"/>
            </w:tcMar>
            <w:vAlign w:val="center"/>
          </w:tcPr>
          <w:p>
            <w:pPr>
              <w:spacing w:after="0" w:line="240" w:lineRule="auto"/>
            </w:pPr>
            <w:r>
              <w:rPr>
                <w:sz w:val="18"/>
              </w:rPr>
              <w:t>Per-token contribution, e.g. s[t,i,p] = w^T z[t,i,p] for a chosen class or variable</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Candidate tokens</w:t>
            </w:r>
          </w:p>
        </w:tc>
        <w:tc>
          <w:tcPr>
            <w:tcW w:type="dxa" w:w="4824"/>
            <w:tcMar>
              <w:top w:w="80" w:type="dxa"/>
              <w:start w:w="110" w:type="dxa"/>
              <w:bottom w:w="80" w:type="dxa"/>
              <w:end w:w="110" w:type="dxa"/>
            </w:tcMar>
            <w:vAlign w:val="center"/>
          </w:tcPr>
          <w:p>
            <w:pPr>
              <w:spacing w:after="0" w:line="240" w:lineRule="auto"/>
            </w:pPr>
            <w:r>
              <w:rPr>
                <w:sz w:val="18"/>
              </w:rPr>
              <w:t>Top-k or thresholded sparse subset by absolute contribution</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Clustering</w:t>
            </w:r>
          </w:p>
        </w:tc>
        <w:tc>
          <w:tcPr>
            <w:tcW w:type="dxa" w:w="4824"/>
            <w:tcMar>
              <w:top w:w="80" w:type="dxa"/>
              <w:start w:w="110" w:type="dxa"/>
              <w:bottom w:w="80" w:type="dxa"/>
              <w:end w:w="110" w:type="dxa"/>
            </w:tcMar>
            <w:vAlign w:val="center"/>
          </w:tcPr>
          <w:p>
            <w:pPr>
              <w:spacing w:after="0" w:line="240" w:lineRule="auto"/>
            </w:pPr>
            <w:r>
              <w:rPr>
                <w:sz w:val="18"/>
              </w:rPr>
              <w:t>HDBSCAN or graph-based clustering on candidate tokens in original latent space</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Motif outputs</w:t>
            </w:r>
          </w:p>
        </w:tc>
        <w:tc>
          <w:tcPr>
            <w:tcW w:type="dxa" w:w="4824"/>
            <w:tcMar>
              <w:top w:w="80" w:type="dxa"/>
              <w:start w:w="110" w:type="dxa"/>
              <w:bottom w:w="80" w:type="dxa"/>
              <w:end w:w="110" w:type="dxa"/>
            </w:tcMar>
            <w:vAlign w:val="center"/>
          </w:tcPr>
          <w:p>
            <w:pPr>
              <w:spacing w:after="0" w:line="240" w:lineRule="auto"/>
            </w:pPr>
            <w:r>
              <w:rPr>
                <w:sz w:val="18"/>
              </w:rPr>
              <w:t>Raw spike averages, participating units, temporal profile, anatomy, recurrence, label specificity</w:t>
            </w:r>
          </w:p>
        </w:tc>
      </w:tr>
    </w:tbl>
    <w:p>
      <w:pPr>
        <w:spacing w:after="40"/>
      </w:pPr>
    </w:p>
    <w:p>
      <w:pPr>
        <w:pStyle w:val="Heading2"/>
      </w:pPr>
      <w:r>
        <w:t>2.6 Verification, falsification, and evaluation</w:t>
      </w:r>
    </w:p>
    <w:p>
      <w:pPr>
        <w:spacing w:after="140" w:line="269" w:lineRule="auto"/>
      </w:pPr>
      <w:r>
        <w:t>Validation should be built into the project from the start. The representation, decoder, and motifs each need separate falsification tests.</w:t>
      </w:r>
    </w:p>
    <w:tbl>
      <w:tblPr>
        <w:tblStyle w:val="TableGrid"/>
        <w:tblW w:type="auto" w:w="0"/>
        <w:jc w:val="center"/>
        <w:tblLook w:firstColumn="1" w:firstRow="1" w:lastColumn="0" w:lastRow="0" w:noHBand="0" w:noVBand="1" w:val="04A0"/>
      </w:tblPr>
      <w:tblGrid>
        <w:gridCol w:w="4824"/>
        <w:gridCol w:w="4824"/>
      </w:tblGrid>
      <w:tr>
        <w:trPr>
          <w:cantSplit/>
        </w:trPr>
        <w:tc>
          <w:tcPr>
            <w:tcW w:type="dxa" w:w="4824"/>
            <w:shd w:fill="DCE6F1"/>
            <w:tcMar>
              <w:top w:w="90" w:type="dxa"/>
              <w:start w:w="110" w:type="dxa"/>
              <w:bottom w:w="90" w:type="dxa"/>
              <w:end w:w="110" w:type="dxa"/>
            </w:tcMar>
          </w:tcPr>
          <w:p>
            <w:pPr>
              <w:spacing w:after="0" w:line="240" w:lineRule="auto"/>
            </w:pPr>
            <w:r>
              <w:rPr>
                <w:b/>
                <w:color w:val="1F3A5F"/>
                <w:sz w:val="20"/>
              </w:rPr>
              <w:t>Check</w:t>
            </w:r>
          </w:p>
        </w:tc>
        <w:tc>
          <w:tcPr>
            <w:tcW w:type="dxa" w:w="4824"/>
            <w:shd w:fill="DCE6F1"/>
            <w:tcMar>
              <w:top w:w="90" w:type="dxa"/>
              <w:start w:w="110" w:type="dxa"/>
              <w:bottom w:w="90" w:type="dxa"/>
              <w:end w:w="110" w:type="dxa"/>
            </w:tcMar>
          </w:tcPr>
          <w:p>
            <w:pPr>
              <w:spacing w:after="0" w:line="240" w:lineRule="auto"/>
            </w:pPr>
            <w:r>
              <w:rPr>
                <w:b/>
                <w:color w:val="1F3A5F"/>
                <w:sz w:val="20"/>
              </w:rPr>
              <w:t>What must be verified</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Representation</w:t>
            </w:r>
          </w:p>
        </w:tc>
        <w:tc>
          <w:tcPr>
            <w:tcW w:type="dxa" w:w="4824"/>
            <w:tcMar>
              <w:top w:w="80" w:type="dxa"/>
              <w:start w:w="110" w:type="dxa"/>
              <w:bottom w:w="80" w:type="dxa"/>
              <w:end w:w="110" w:type="dxa"/>
            </w:tcMar>
            <w:vAlign w:val="center"/>
          </w:tcPr>
          <w:p>
            <w:pPr>
              <w:spacing w:after="0" w:line="240" w:lineRule="auto"/>
            </w:pPr>
            <w:r>
              <w:rPr>
                <w:sz w:val="18"/>
              </w:rPr>
              <w:t>Does the encoder beat non-contextual baselines on held-out predictive dynamics?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Grounding</w:t>
            </w:r>
          </w:p>
        </w:tc>
        <w:tc>
          <w:tcPr>
            <w:tcW w:type="dxa" w:w="4824"/>
            <w:tcMar>
              <w:top w:w="80" w:type="dxa"/>
              <w:start w:w="110" w:type="dxa"/>
              <w:bottom w:w="80" w:type="dxa"/>
              <w:end w:w="110" w:type="dxa"/>
            </w:tcMar>
            <w:vAlign w:val="center"/>
          </w:tcPr>
          <w:p>
            <w:pPr>
              <w:spacing w:after="0" w:line="240" w:lineRule="auto"/>
            </w:pPr>
            <w:r>
              <w:rPr>
                <w:sz w:val="18"/>
              </w:rPr>
              <w:t>Does reconstruction remain stable without overpowering the predictive objective?</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Token fidelity</w:t>
            </w:r>
          </w:p>
        </w:tc>
        <w:tc>
          <w:tcPr>
            <w:tcW w:type="dxa" w:w="4824"/>
            <w:tcMar>
              <w:top w:w="80" w:type="dxa"/>
              <w:start w:w="110" w:type="dxa"/>
              <w:bottom w:w="80" w:type="dxa"/>
              <w:end w:w="110" w:type="dxa"/>
            </w:tcMar>
            <w:vAlign w:val="center"/>
          </w:tcPr>
          <w:p>
            <w:pPr>
              <w:spacing w:after="0" w:line="240" w:lineRule="auto"/>
            </w:pPr>
            <w:r>
              <w:rPr>
                <w:sz w:val="18"/>
              </w:rPr>
              <w:t>Can every high-scoring token be traced back to a concrete unit, patch time, and raw spike segment?</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Motif recurrence</w:t>
            </w:r>
          </w:p>
        </w:tc>
        <w:tc>
          <w:tcPr>
            <w:tcW w:type="dxa" w:w="4824"/>
            <w:tcMar>
              <w:top w:w="80" w:type="dxa"/>
              <w:start w:w="110" w:type="dxa"/>
              <w:bottom w:w="80" w:type="dxa"/>
              <w:end w:w="110" w:type="dxa"/>
            </w:tcMar>
            <w:vAlign w:val="center"/>
          </w:tcPr>
          <w:p>
            <w:pPr>
              <w:spacing w:after="0" w:line="240" w:lineRule="auto"/>
            </w:pPr>
            <w:r>
              <w:rPr>
                <w:sz w:val="18"/>
              </w:rPr>
              <w:t>Do clustered motifs recur across trials and seeds rather than appearing as one-off outliers?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Raw-data signature</w:t>
            </w:r>
          </w:p>
        </w:tc>
        <w:tc>
          <w:tcPr>
            <w:tcW w:type="dxa" w:w="4824"/>
            <w:tcMar>
              <w:top w:w="80" w:type="dxa"/>
              <w:start w:w="110" w:type="dxa"/>
              <w:bottom w:w="80" w:type="dxa"/>
              <w:end w:w="110" w:type="dxa"/>
            </w:tcMar>
            <w:vAlign w:val="center"/>
          </w:tcPr>
          <w:p>
            <w:pPr>
              <w:spacing w:after="0" w:line="240" w:lineRule="auto"/>
            </w:pPr>
            <w:r>
              <w:rPr>
                <w:sz w:val="18"/>
              </w:rPr>
              <w:t>Do motif instances show a consistent raw spike pattern when aligned and averaged?</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Cross-session robustness</w:t>
            </w:r>
          </w:p>
        </w:tc>
        <w:tc>
          <w:tcPr>
            <w:tcW w:type="dxa" w:w="4824"/>
            <w:tcMar>
              <w:top w:w="80" w:type="dxa"/>
              <w:start w:w="110" w:type="dxa"/>
              <w:bottom w:w="80" w:type="dxa"/>
              <w:end w:w="110" w:type="dxa"/>
            </w:tcMar>
            <w:vAlign w:val="center"/>
          </w:tcPr>
          <w:p>
            <w:pPr>
              <w:spacing w:after="0" w:line="240" w:lineRule="auto"/>
            </w:pPr>
            <w:r>
              <w:rPr>
                <w:sz w:val="18"/>
              </w:rPr>
              <w:t>Do motifs or motif families reappear in held-out sessions or animals?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Label specificity</w:t>
            </w:r>
          </w:p>
        </w:tc>
        <w:tc>
          <w:tcPr>
            <w:tcW w:type="dxa" w:w="4824"/>
            <w:tcMar>
              <w:top w:w="80" w:type="dxa"/>
              <w:start w:w="110" w:type="dxa"/>
              <w:bottom w:w="80" w:type="dxa"/>
              <w:end w:w="110" w:type="dxa"/>
            </w:tcMar>
            <w:vAlign w:val="center"/>
          </w:tcPr>
          <w:p>
            <w:pPr>
              <w:spacing w:after="0" w:line="240" w:lineRule="auto"/>
            </w:pPr>
            <w:r>
              <w:rPr>
                <w:sz w:val="18"/>
              </w:rPr>
              <w:t>Does motif relevance drop when labels are shuffled or when decoding an unrelated variable?</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Target sensitivity</w:t>
            </w:r>
          </w:p>
        </w:tc>
        <w:tc>
          <w:tcPr>
            <w:tcW w:type="dxa" w:w="4824"/>
            <w:tcMar>
              <w:top w:w="80" w:type="dxa"/>
              <w:start w:w="110" w:type="dxa"/>
              <w:bottom w:w="80" w:type="dxa"/>
              <w:end w:w="110" w:type="dxa"/>
            </w:tcMar>
            <w:vAlign w:val="center"/>
          </w:tcPr>
          <w:p>
            <w:pPr>
              <w:spacing w:after="0" w:line="240" w:lineRule="auto"/>
            </w:pPr>
            <w:r>
              <w:rPr>
                <w:sz w:val="18"/>
              </w:rPr>
              <w:t>Are discovered motifs stable across different continuation baselines and patch sizes?</w:t>
            </w:r>
          </w:p>
        </w:tc>
      </w:tr>
    </w:tbl>
    <w:p>
      <w:pPr>
        <w:spacing w:after="40"/>
      </w:pPr>
    </w:p>
    <w:p>
      <w:pPr>
        <w:pStyle w:val="Heading2"/>
      </w:pPr>
      <w:r>
        <w:t>2.7 Open questions and further investigation</w:t>
      </w:r>
    </w:p>
    <w:p>
      <w:pPr>
        <w:spacing w:after="80" w:line="264" w:lineRule="auto"/>
        <w:ind w:left="288" w:hanging="259"/>
      </w:pPr>
      <w:r>
        <w:rPr>
          <w:b/>
        </w:rPr>
        <w:t xml:space="preserve">• </w:t>
      </w:r>
      <w:r>
        <w:t>Choice of continuation baseline for the delta target. This remains the most delicate modeling decision and should be stress-tested early.</w:t>
      </w:r>
    </w:p>
    <w:p>
      <w:pPr>
        <w:spacing w:after="80" w:line="264" w:lineRule="auto"/>
        <w:ind w:left="288" w:hanging="259"/>
      </w:pPr>
      <w:r>
        <w:rPr>
          <w:b/>
        </w:rPr>
        <w:t xml:space="preserve">• </w:t>
      </w:r>
      <w:r>
        <w:t>Patch size versus temporal precision. Smaller patches may improve motif timing but increase sequence length and optimization difficulty.</w:t>
      </w:r>
    </w:p>
    <w:p>
      <w:pPr>
        <w:spacing w:after="80" w:line="264" w:lineRule="auto"/>
        <w:ind w:left="288" w:hanging="259"/>
      </w:pPr>
      <w:r>
        <w:rPr>
          <w:b/>
        </w:rPr>
        <w:t xml:space="preserve">• </w:t>
      </w:r>
      <w:r>
        <w:t>Whether spatial attention should incorporate optional metadata such as depth or region as side information, while preserving a relational core.</w:t>
      </w:r>
    </w:p>
    <w:p>
      <w:pPr>
        <w:spacing w:after="80" w:line="264" w:lineRule="auto"/>
        <w:ind w:left="288" w:hanging="259"/>
      </w:pPr>
      <w:r>
        <w:rPr>
          <w:b/>
        </w:rPr>
        <w:t xml:space="preserve">• </w:t>
      </w:r>
      <w:r>
        <w:t>How to define task-relevant windows for different variables, such as peri-stimulus versus ongoing behavior, without leaking future information improperly.</w:t>
      </w:r>
    </w:p>
    <w:p>
      <w:pPr>
        <w:spacing w:after="80" w:line="264" w:lineRule="auto"/>
        <w:ind w:left="288" w:hanging="259"/>
      </w:pPr>
      <w:r>
        <w:rPr>
          <w:b/>
        </w:rPr>
        <w:t xml:space="preserve">• </w:t>
      </w:r>
      <w:r>
        <w:t>How sparse the downstream probe and candidate token selection should be in order to balance interpretability and stability.</w:t>
      </w:r>
    </w:p>
    <w:p>
      <w:pPr>
        <w:spacing w:after="80" w:line="264" w:lineRule="auto"/>
        <w:ind w:left="288" w:hanging="259"/>
      </w:pPr>
      <w:r>
        <w:rPr>
          <w:b/>
        </w:rPr>
        <w:t xml:space="preserve">• </w:t>
      </w:r>
      <w:r>
        <w:t>How to summarize motif families across sessions when unit identities are not aligned across animals.</w:t>
      </w:r>
    </w:p>
    <w:p>
      <w:pPr>
        <w:pStyle w:val="Heading2"/>
      </w:pPr>
      <w:r>
        <w:t>2.8 Suggested codebase layout</w:t>
      </w:r>
    </w:p>
    <w:p>
      <w:pPr>
        <w:spacing w:after="140" w:line="269" w:lineRule="auto"/>
      </w:pPr>
      <w:r>
        <w:t>A clean implementation should separate representation learning, downstream decoding, and analysis into distinct modules. Suggested top-level packages are: data, tokenization, models, objectives, training, decoding, clustering, analysis, and evaluation. Keep all hyperparameters in typed config files and store reversible token provenance for every batch.</w:t>
      </w:r>
    </w:p>
    <w:p>
      <w:pPr>
        <w:spacing w:after="140" w:line="269" w:lineRule="auto"/>
      </w:pPr>
      <w:r>
        <w:t>Recommended training flow: build session windows; tokenize and batch them; train the encoder under L_pred + L_rec; checkpoint the frozen encoder; precompute or lazily stream token tensors for downstream tasks; train additive decoders for each label; extract candidate tokens; cluster them; and generate motif reports in both latent-space and raw-spike formats.</w:t>
      </w:r>
    </w:p>
    <w:p>
      <w:pPr>
        <w:spacing w:after="140" w:line="269" w:lineRule="auto"/>
      </w:pPr>
      <w:r>
        <w:t>Every experiment should be reproducible from config alone. Save the random seed, dataset split, continuation-target choice, patch size, context length, decoder label, token-thresholding rule, and clustering parameters for each run.</w:t>
      </w:r>
    </w:p>
    <w:p>
      <w:r>
        <w:br w:type="page"/>
      </w:r>
    </w:p>
    <w:tbl>
      <w:tblPr>
        <w:tblStyle w:val="TableGrid"/>
        <w:tblW w:type="auto" w:w="0"/>
        <w:jc w:val="center"/>
        <w:tblLook w:firstColumn="1" w:firstRow="1" w:lastColumn="0" w:lastRow="0" w:noHBand="0" w:noVBand="1" w:val="04A0"/>
      </w:tblPr>
      <w:tblGrid>
        <w:gridCol w:w="4824"/>
        <w:gridCol w:w="4824"/>
      </w:tblGrid>
      <w:tr>
        <w:trPr>
          <w:cantSplit/>
        </w:trPr>
        <w:tc>
          <w:tcPr>
            <w:tcW w:type="dxa" w:w="4824"/>
            <w:shd w:fill="DCE6F1"/>
            <w:tcMar>
              <w:top w:w="90" w:type="dxa"/>
              <w:start w:w="110" w:type="dxa"/>
              <w:bottom w:w="90" w:type="dxa"/>
              <w:end w:w="110" w:type="dxa"/>
            </w:tcMar>
          </w:tcPr>
          <w:p>
            <w:pPr>
              <w:spacing w:after="0" w:line="240" w:lineRule="auto"/>
            </w:pPr>
            <w:r>
              <w:rPr>
                <w:b/>
                <w:color w:val="1F3A5F"/>
                <w:sz w:val="20"/>
              </w:rPr>
              <w:t>Module</w:t>
            </w:r>
          </w:p>
        </w:tc>
        <w:tc>
          <w:tcPr>
            <w:tcW w:type="dxa" w:w="4824"/>
            <w:shd w:fill="DCE6F1"/>
            <w:tcMar>
              <w:top w:w="90" w:type="dxa"/>
              <w:start w:w="110" w:type="dxa"/>
              <w:bottom w:w="90" w:type="dxa"/>
              <w:end w:w="110" w:type="dxa"/>
            </w:tcMar>
          </w:tcPr>
          <w:p>
            <w:pPr>
              <w:spacing w:after="0" w:line="240" w:lineRule="auto"/>
            </w:pPr>
            <w:r>
              <w:rPr>
                <w:b/>
                <w:color w:val="1F3A5F"/>
                <w:sz w:val="20"/>
              </w:rPr>
              <w:t>Responsibilities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data/</w:t>
            </w:r>
          </w:p>
        </w:tc>
        <w:tc>
          <w:tcPr>
            <w:tcW w:type="dxa" w:w="4824"/>
            <w:tcMar>
              <w:top w:w="80" w:type="dxa"/>
              <w:start w:w="110" w:type="dxa"/>
              <w:bottom w:w="80" w:type="dxa"/>
              <w:end w:w="110" w:type="dxa"/>
            </w:tcMar>
            <w:vAlign w:val="center"/>
          </w:tcPr>
          <w:p>
            <w:pPr>
              <w:spacing w:after="0" w:line="240" w:lineRule="auto"/>
            </w:pPr>
            <w:r>
              <w:rPr>
                <w:sz w:val="18"/>
              </w:rPr>
              <w:t>Session loaders, metadata schema, split logic, spike binning, event alignment</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tokenization/</w:t>
            </w:r>
          </w:p>
        </w:tc>
        <w:tc>
          <w:tcPr>
            <w:tcW w:type="dxa" w:w="4824"/>
            <w:tcMar>
              <w:top w:w="80" w:type="dxa"/>
              <w:start w:w="110" w:type="dxa"/>
              <w:bottom w:w="80" w:type="dxa"/>
              <w:end w:w="110" w:type="dxa"/>
            </w:tcMar>
            <w:vAlign w:val="center"/>
          </w:tcPr>
          <w:p>
            <w:pPr>
              <w:spacing w:after="0" w:line="240" w:lineRule="auto"/>
            </w:pPr>
            <w:r>
              <w:rPr>
                <w:sz w:val="18"/>
              </w:rPr>
              <w:t>Context window sampler, patch builder, provenance mapping</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models/</w:t>
            </w:r>
          </w:p>
        </w:tc>
        <w:tc>
          <w:tcPr>
            <w:tcW w:type="dxa" w:w="4824"/>
            <w:tcMar>
              <w:top w:w="80" w:type="dxa"/>
              <w:start w:w="110" w:type="dxa"/>
              <w:bottom w:w="80" w:type="dxa"/>
              <w:end w:w="110" w:type="dxa"/>
            </w:tcMar>
            <w:vAlign w:val="center"/>
          </w:tcPr>
          <w:p>
            <w:pPr>
              <w:spacing w:after="0" w:line="240" w:lineRule="auto"/>
            </w:pPr>
            <w:r>
              <w:rPr>
                <w:sz w:val="18"/>
              </w:rPr>
              <w:t>Patch embedder, temporal stack, spatial attention, spatiotemporal encoder, prediction and reconstruction heads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objectives/</w:t>
            </w:r>
          </w:p>
        </w:tc>
        <w:tc>
          <w:tcPr>
            <w:tcW w:type="dxa" w:w="4824"/>
            <w:tcMar>
              <w:top w:w="80" w:type="dxa"/>
              <w:start w:w="110" w:type="dxa"/>
              <w:bottom w:w="80" w:type="dxa"/>
              <w:end w:w="110" w:type="dxa"/>
            </w:tcMar>
            <w:vAlign w:val="center"/>
          </w:tcPr>
          <w:p>
            <w:pPr>
              <w:spacing w:after="0" w:line="240" w:lineRule="auto"/>
            </w:pPr>
            <w:r>
              <w:rPr>
                <w:sz w:val="18"/>
              </w:rPr>
              <w:t>Delta target builders, predictive loss, reconstruction loss, baseline evaluators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training/</w:t>
            </w:r>
          </w:p>
        </w:tc>
        <w:tc>
          <w:tcPr>
            <w:tcW w:type="dxa" w:w="4824"/>
            <w:tcMar>
              <w:top w:w="80" w:type="dxa"/>
              <w:start w:w="110" w:type="dxa"/>
              <w:bottom w:w="80" w:type="dxa"/>
              <w:end w:w="110" w:type="dxa"/>
            </w:tcMar>
            <w:vAlign w:val="center"/>
          </w:tcPr>
          <w:p>
            <w:pPr>
              <w:spacing w:after="0" w:line="240" w:lineRule="auto"/>
            </w:pPr>
            <w:r>
              <w:rPr>
                <w:sz w:val="18"/>
              </w:rPr>
              <w:t>Batching, optimization, logging, checkpointing, validation hooks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decoding/</w:t>
            </w:r>
          </w:p>
        </w:tc>
        <w:tc>
          <w:tcPr>
            <w:tcW w:type="dxa" w:w="4824"/>
            <w:tcMar>
              <w:top w:w="80" w:type="dxa"/>
              <w:start w:w="110" w:type="dxa"/>
              <w:bottom w:w="80" w:type="dxa"/>
              <w:end w:w="110" w:type="dxa"/>
            </w:tcMar>
            <w:vAlign w:val="center"/>
          </w:tcPr>
          <w:p>
            <w:pPr>
              <w:spacing w:after="0" w:line="240" w:lineRule="auto"/>
            </w:pPr>
            <w:r>
              <w:rPr>
                <w:sz w:val="18"/>
              </w:rPr>
              <w:t>Frozen-token extraction, additive linear probe, class-margin scoring</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clustering/</w:t>
            </w:r>
          </w:p>
        </w:tc>
        <w:tc>
          <w:tcPr>
            <w:tcW w:type="dxa" w:w="4824"/>
            <w:tcMar>
              <w:top w:w="80" w:type="dxa"/>
              <w:start w:w="110" w:type="dxa"/>
              <w:bottom w:w="80" w:type="dxa"/>
              <w:end w:w="110" w:type="dxa"/>
            </w:tcMar>
            <w:vAlign w:val="center"/>
          </w:tcPr>
          <w:p>
            <w:pPr>
              <w:spacing w:after="0" w:line="240" w:lineRule="auto"/>
            </w:pPr>
            <w:r>
              <w:rPr>
                <w:sz w:val="18"/>
              </w:rPr>
              <w:t>Candidate token selection, HDBSCAN or graph clustering, stability analysis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analysis/</w:t>
            </w:r>
          </w:p>
        </w:tc>
        <w:tc>
          <w:tcPr>
            <w:tcW w:type="dxa" w:w="4824"/>
            <w:tcMar>
              <w:top w:w="80" w:type="dxa"/>
              <w:start w:w="110" w:type="dxa"/>
              <w:bottom w:w="80" w:type="dxa"/>
              <w:end w:w="110" w:type="dxa"/>
            </w:tcMar>
            <w:vAlign w:val="center"/>
          </w:tcPr>
          <w:p>
            <w:pPr>
              <w:spacing w:after="0" w:line="240" w:lineRule="auto"/>
            </w:pPr>
            <w:r>
              <w:rPr>
                <w:sz w:val="18"/>
              </w:rPr>
              <w:t>Raw spike reconstruction, anatomy summaries, recurrence statistics, ablation reports</w:t>
            </w:r>
          </w:p>
        </w:tc>
      </w:tr>
      <w:tr>
        <w:trPr>
          <w:cantSplit/>
        </w:trPr>
        <w:tc>
          <w:tcPr>
            <w:tcW w:type="dxa" w:w="4824"/>
            <w:shd w:fill="F5F8FB"/>
            <w:tcMar>
              <w:top w:w="80" w:type="dxa"/>
              <w:start w:w="110" w:type="dxa"/>
              <w:bottom w:w="80" w:type="dxa"/>
              <w:end w:w="110" w:type="dxa"/>
            </w:tcMar>
            <w:vAlign w:val="center"/>
          </w:tcPr>
          <w:p>
            <w:pPr>
              <w:spacing w:after="0" w:line="240" w:lineRule="auto"/>
            </w:pPr>
            <w:r>
              <w:rPr>
                <w:sz w:val="18"/>
              </w:rPr>
              <w:t>evaluation/</w:t>
            </w:r>
          </w:p>
        </w:tc>
        <w:tc>
          <w:tcPr>
            <w:tcW w:type="dxa" w:w="4824"/>
            <w:tcMar>
              <w:top w:w="80" w:type="dxa"/>
              <w:start w:w="110" w:type="dxa"/>
              <w:bottom w:w="80" w:type="dxa"/>
              <w:end w:w="110" w:type="dxa"/>
            </w:tcMar>
            <w:vAlign w:val="center"/>
          </w:tcPr>
          <w:p>
            <w:pPr>
              <w:spacing w:after="0" w:line="240" w:lineRule="auto"/>
            </w:pPr>
            <w:r>
              <w:rPr>
                <w:sz w:val="18"/>
              </w:rPr>
              <w:t>Held-out predictive metrics, label shuffles, target sensitivity, cross-session tests</w:t>
            </w:r>
          </w:p>
        </w:tc>
      </w:tr>
    </w:tbl>
    <w:p>
      <w:pPr>
        <w:spacing w:after="40"/>
      </w:pPr>
    </w:p>
    <w:p>
      <w:pPr>
        <w:pStyle w:val="Heading2"/>
      </w:pPr>
      <w:r>
        <w:t>Closing note</w:t>
      </w:r>
    </w:p>
    <w:p>
      <w:pPr>
        <w:spacing w:after="160" w:line="269" w:lineRule="auto"/>
      </w:pPr>
      <w:r>
        <w:t>The strongest version of this project is a dynamics-first representation learner plus a deliberately conservative downstream motif pipeline. The encoder should learn predictive population state without label supervision. The downstream analysis should then ask focused biological questions by selecting and clustering the most relevant frozen tokens while preserving direct access to the underlying neural activity. If that separation is maintained, the method can make a sharper and more defensible contribution: not a claim of automatic causal discovery, but a robust framework for identifying candidate circuit motifs that are predictive, recurring, and directly inspectable in real neural recordings.</w:t>
      </w:r>
    </w:p>
    <w:p>
      <w:pPr>
        <w:pStyle w:val="Small"/>
      </w:pPr>
      <w:r>
        <w:t>Prepared from the uploaded project synthesis and mathematical formulation, revised to separate dynamics representation learning from downstream task-specific motif discovery.</w:t>
      </w:r>
    </w:p>
    <w:sectPr w:rsidR="00FC693F" w:rsidRPr="0006063C" w:rsidSect="00034616">
      <w:footerReference w:type="default" r:id="rId9"/>
      <w:pgSz w:w="12240" w:h="15840"/>
      <w:pgMar w:top="1152"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D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ptos" w:hAnsi="Aptos"/>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