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376F6B" w14:textId="591D3F06" w:rsidR="00E901DC" w:rsidRDefault="00000000" w:rsidP="00E901DC">
      <w:pPr>
        <w:pStyle w:val="Heading1"/>
      </w:pPr>
      <w:r>
        <w:rPr>
          <w:rFonts w:ascii="Segoe UI Emoji" w:hAnsi="Segoe UI Emoji" w:cs="Segoe UI Emoji"/>
        </w:rPr>
        <w:t>📄</w:t>
      </w:r>
      <w:r>
        <w:t xml:space="preserve"> Stock Analysis</w:t>
      </w:r>
      <w:r w:rsidR="008F6C62">
        <w:t xml:space="preserve"> by</w:t>
      </w:r>
      <w:r w:rsidR="008E30F3">
        <w:t xml:space="preserve"> Canadian Cashflow</w:t>
      </w:r>
      <w:r w:rsidR="007D2520">
        <w:t xml:space="preserve"> (JR)</w:t>
      </w:r>
    </w:p>
    <w:p w14:paraId="2D932194" w14:textId="77777777" w:rsidR="00870439" w:rsidRDefault="00870439" w:rsidP="00870439"/>
    <w:p w14:paraId="2CD88D60" w14:textId="33E73B40" w:rsidR="00870439" w:rsidRPr="00870439" w:rsidRDefault="00870439" w:rsidP="0073288D">
      <w:pPr>
        <w:jc w:val="center"/>
      </w:pPr>
      <w:r>
        <w:rPr>
          <w:noProof/>
        </w:rPr>
        <w:drawing>
          <wp:inline distT="0" distB="0" distL="0" distR="0" wp14:anchorId="2F345480" wp14:editId="32AD8636">
            <wp:extent cx="1895475" cy="710803"/>
            <wp:effectExtent l="0" t="0" r="0" b="0"/>
            <wp:docPr id="1406836513" name="Picture 1" descr="Interactive Brokers Takes Action on Actively Traded Symb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teractive Brokers Takes Action on Actively Traded Symbol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04035" cy="714013"/>
                    </a:xfrm>
                    <a:prstGeom prst="rect">
                      <a:avLst/>
                    </a:prstGeom>
                    <a:noFill/>
                    <a:ln>
                      <a:noFill/>
                    </a:ln>
                  </pic:spPr>
                </pic:pic>
              </a:graphicData>
            </a:graphic>
          </wp:inline>
        </w:drawing>
      </w:r>
    </w:p>
    <w:p w14:paraId="5DEC65EB" w14:textId="77777777" w:rsidR="002140C8" w:rsidRDefault="00000000">
      <w:pPr>
        <w:pStyle w:val="Heading2"/>
      </w:pPr>
      <w:r>
        <w:t>1. Company Overview</w:t>
      </w:r>
    </w:p>
    <w:p w14:paraId="36EEC5B9" w14:textId="77777777" w:rsidR="00E031E4" w:rsidRDefault="00000000">
      <w:r>
        <w:t>• Name:</w:t>
      </w:r>
      <w:r w:rsidR="00802AF3">
        <w:t xml:space="preserve"> Interactive Brokers</w:t>
      </w:r>
      <w:r>
        <w:br/>
        <w:t>• Ticker:</w:t>
      </w:r>
      <w:r w:rsidR="00296A58">
        <w:t xml:space="preserve"> NASDAQ: IBKR</w:t>
      </w:r>
      <w:r>
        <w:br/>
        <w:t>• Founding Date:</w:t>
      </w:r>
      <w:r w:rsidR="00977EAB">
        <w:t xml:space="preserve"> 1982</w:t>
      </w:r>
      <w:r>
        <w:br/>
        <w:t>• Headquarters:</w:t>
      </w:r>
      <w:r w:rsidR="00977EAB">
        <w:t xml:space="preserve"> Greenwich, Connecticut</w:t>
      </w:r>
      <w:r>
        <w:br/>
        <w:t>• Sector / Industry:</w:t>
      </w:r>
      <w:r w:rsidR="000875CE">
        <w:t xml:space="preserve"> </w:t>
      </w:r>
      <w:r w:rsidR="009512BE">
        <w:t>financial services</w:t>
      </w:r>
    </w:p>
    <w:p w14:paraId="510EE08C" w14:textId="0CCE9105" w:rsidR="002140C8" w:rsidRDefault="00000000">
      <w:r>
        <w:br/>
        <w:t xml:space="preserve">• Business </w:t>
      </w:r>
      <w:r w:rsidR="00E031E4">
        <w:t>Model Overview</w:t>
      </w:r>
    </w:p>
    <w:p w14:paraId="4109975F" w14:textId="77777777" w:rsidR="00604515" w:rsidRDefault="00712CAE" w:rsidP="005E1ECF">
      <w:r>
        <w:t xml:space="preserve">Core Business: </w:t>
      </w:r>
      <w:r w:rsidR="005E1ECF" w:rsidRPr="005E1ECF">
        <w:t xml:space="preserve">Interactive Brokers (IBKR) operates a </w:t>
      </w:r>
      <w:r w:rsidR="005E1ECF" w:rsidRPr="00604515">
        <w:rPr>
          <w:b/>
          <w:bCs/>
          <w:highlight w:val="yellow"/>
        </w:rPr>
        <w:t>low-cost electronic brokerage platform</w:t>
      </w:r>
      <w:r w:rsidR="005E1ECF" w:rsidRPr="005E1ECF">
        <w:t xml:space="preserve"> serving individual investors, institutional clients (hedge funds, RIAs, proprietary trading firms), and introducing brokers across the globe. Its core model is built around automation, scale, and technological efficiency.</w:t>
      </w:r>
    </w:p>
    <w:p w14:paraId="78790D28" w14:textId="017077E0" w:rsidR="00A20219" w:rsidRDefault="00A20219" w:rsidP="005E1ECF">
      <w:r>
        <w:t xml:space="preserve">Personal Knowledge: </w:t>
      </w:r>
      <w:r w:rsidR="00392DC6">
        <w:t>IBKR is by far the best broker in Canada, it is the cheapest (</w:t>
      </w:r>
      <w:proofErr w:type="spellStart"/>
      <w:r w:rsidR="00392DC6">
        <w:t>Wealthsimple</w:t>
      </w:r>
      <w:proofErr w:type="spellEnd"/>
      <w:r w:rsidR="00392DC6">
        <w:t xml:space="preserve"> is slightly cheaper for Canada stocks only), you can buy on exchanges all around the world, lots of products, low FX fees, low trading flees, in Canada it is the best broker for active traders</w:t>
      </w:r>
      <w:r w:rsidR="004D37F6">
        <w:t xml:space="preserve"> to small time personal investors who want to invest in foreign stocks like myself.</w:t>
      </w:r>
    </w:p>
    <w:p w14:paraId="333CF8EC" w14:textId="767AF0AF" w:rsidR="0042671F" w:rsidRPr="003F76AA" w:rsidRDefault="002B4B7F" w:rsidP="005E1ECF">
      <w:pPr>
        <w:rPr>
          <w:i/>
          <w:iCs/>
        </w:rPr>
      </w:pPr>
      <w:r w:rsidRPr="003F76AA">
        <w:rPr>
          <w:i/>
          <w:iCs/>
        </w:rPr>
        <w:t>Key Revenue Streams:</w:t>
      </w:r>
    </w:p>
    <w:p w14:paraId="1447BEBE" w14:textId="77777777" w:rsidR="00E64001" w:rsidRDefault="002B4B7F" w:rsidP="00E64001">
      <w:pPr>
        <w:pStyle w:val="ListParagraph"/>
        <w:numPr>
          <w:ilvl w:val="0"/>
          <w:numId w:val="10"/>
        </w:numPr>
      </w:pPr>
      <w:r>
        <w:t>Commissions:</w:t>
      </w:r>
    </w:p>
    <w:p w14:paraId="5E34ECFF" w14:textId="4295637C" w:rsidR="002B4B7F" w:rsidRPr="006C1F8A" w:rsidRDefault="00AA325F" w:rsidP="00E64001">
      <w:pPr>
        <w:pStyle w:val="ListParagraph"/>
        <w:numPr>
          <w:ilvl w:val="1"/>
          <w:numId w:val="10"/>
        </w:numPr>
      </w:pPr>
      <w:r w:rsidRPr="00AA325F">
        <w:t xml:space="preserve">IBKR earns commissions from executing trades in stocks, options, futures, forex, bonds, and ETFs across over 150 markets worldwide. </w:t>
      </w:r>
      <w:r w:rsidRPr="00C2245C">
        <w:rPr>
          <w:b/>
          <w:bCs/>
          <w:highlight w:val="yellow"/>
        </w:rPr>
        <w:t>Its commissions are lower</w:t>
      </w:r>
      <w:r w:rsidRPr="00C2245C">
        <w:rPr>
          <w:b/>
          <w:bCs/>
        </w:rPr>
        <w:t xml:space="preserve"> than many </w:t>
      </w:r>
      <w:r w:rsidR="00E64001" w:rsidRPr="00C2245C">
        <w:rPr>
          <w:b/>
          <w:bCs/>
        </w:rPr>
        <w:t>competitors’</w:t>
      </w:r>
      <w:r w:rsidRPr="00C2245C">
        <w:rPr>
          <w:b/>
          <w:bCs/>
        </w:rPr>
        <w:t xml:space="preserve"> due to its automated systems.</w:t>
      </w:r>
    </w:p>
    <w:p w14:paraId="210C4EB0" w14:textId="77777777" w:rsidR="006C1F8A" w:rsidRDefault="006C1F8A" w:rsidP="006C1F8A">
      <w:pPr>
        <w:pStyle w:val="ListParagraph"/>
        <w:ind w:left="1440"/>
      </w:pPr>
    </w:p>
    <w:p w14:paraId="3EC5CBE7" w14:textId="77777777" w:rsidR="00744DFB" w:rsidRPr="00877BD0" w:rsidRDefault="003D35FA" w:rsidP="003D35FA">
      <w:pPr>
        <w:pStyle w:val="ListParagraph"/>
        <w:numPr>
          <w:ilvl w:val="0"/>
          <w:numId w:val="10"/>
        </w:numPr>
      </w:pPr>
      <w:r w:rsidRPr="00877BD0">
        <w:t>Interest Income:</w:t>
      </w:r>
    </w:p>
    <w:p w14:paraId="40F6596C" w14:textId="66251023" w:rsidR="003D35FA" w:rsidRDefault="003D35FA" w:rsidP="00744DFB">
      <w:pPr>
        <w:pStyle w:val="ListParagraph"/>
        <w:numPr>
          <w:ilvl w:val="1"/>
          <w:numId w:val="10"/>
        </w:numPr>
      </w:pPr>
      <w:r w:rsidRPr="003D35FA">
        <w:t xml:space="preserve">IBKR generates significant revenue from net interest </w:t>
      </w:r>
      <w:r w:rsidR="00877BD0" w:rsidRPr="003D35FA">
        <w:t xml:space="preserve">income, </w:t>
      </w:r>
      <w:r w:rsidRPr="003D35FA">
        <w:rPr>
          <w:b/>
          <w:bCs/>
        </w:rPr>
        <w:t>the difference between what it earns on customer cash balances and margin loans versus what it pays on client cash.</w:t>
      </w:r>
      <w:r w:rsidRPr="003D35FA">
        <w:br/>
        <w:t xml:space="preserve">This is one of its </w:t>
      </w:r>
      <w:r w:rsidRPr="003D35FA">
        <w:rPr>
          <w:b/>
          <w:bCs/>
        </w:rPr>
        <w:t xml:space="preserve">most important and </w:t>
      </w:r>
      <w:r w:rsidR="00C2245C" w:rsidRPr="003D35FA">
        <w:rPr>
          <w:b/>
          <w:bCs/>
        </w:rPr>
        <w:t>fastest growing</w:t>
      </w:r>
      <w:r w:rsidRPr="003D35FA">
        <w:rPr>
          <w:b/>
          <w:bCs/>
        </w:rPr>
        <w:t xml:space="preserve"> segments</w:t>
      </w:r>
      <w:r w:rsidRPr="003D35FA">
        <w:t>, especially when interest rates are rising.</w:t>
      </w:r>
    </w:p>
    <w:p w14:paraId="4C2B446A" w14:textId="77777777" w:rsidR="00CF2E35" w:rsidRDefault="00CF2E35" w:rsidP="00CF2E35">
      <w:pPr>
        <w:pStyle w:val="ListParagraph"/>
        <w:ind w:left="1440"/>
      </w:pPr>
    </w:p>
    <w:p w14:paraId="1C6BBDE3" w14:textId="77777777" w:rsidR="00CF2E35" w:rsidRDefault="00CF2E35" w:rsidP="00CF2E35">
      <w:pPr>
        <w:pStyle w:val="ListParagraph"/>
        <w:numPr>
          <w:ilvl w:val="0"/>
          <w:numId w:val="10"/>
        </w:numPr>
      </w:pPr>
      <w:r w:rsidRPr="00CF2E35">
        <w:rPr>
          <w:b/>
          <w:bCs/>
        </w:rPr>
        <w:t>Order Flow and Market Making (minimized):</w:t>
      </w:r>
    </w:p>
    <w:p w14:paraId="579CDEF5" w14:textId="77777777" w:rsidR="004855F7" w:rsidRDefault="00CF2E35" w:rsidP="004855F7">
      <w:pPr>
        <w:pStyle w:val="ListParagraph"/>
        <w:numPr>
          <w:ilvl w:val="1"/>
          <w:numId w:val="10"/>
        </w:numPr>
      </w:pPr>
      <w:r w:rsidRPr="00CF2E35">
        <w:t xml:space="preserve">Unlike many retail brokers, IBKR does </w:t>
      </w:r>
      <w:r w:rsidRPr="00CF2E35">
        <w:rPr>
          <w:b/>
          <w:bCs/>
        </w:rPr>
        <w:t>not sell order flow (PFOF)</w:t>
      </w:r>
      <w:r w:rsidRPr="00CF2E35">
        <w:t xml:space="preserve"> in the U.S. It offers </w:t>
      </w:r>
      <w:r w:rsidRPr="00CF2E35">
        <w:rPr>
          <w:b/>
          <w:bCs/>
        </w:rPr>
        <w:t>direct market access</w:t>
      </w:r>
      <w:r w:rsidRPr="00CF2E35">
        <w:t xml:space="preserve">, which appeals to sophisticated investors and institutions seeking </w:t>
      </w:r>
      <w:r w:rsidRPr="00CF2E35">
        <w:t>the best</w:t>
      </w:r>
      <w:r w:rsidRPr="00CF2E35">
        <w:t xml:space="preserve"> execution.</w:t>
      </w:r>
    </w:p>
    <w:p w14:paraId="7CFA6380" w14:textId="77777777" w:rsidR="004855F7" w:rsidRDefault="004855F7" w:rsidP="004855F7">
      <w:pPr>
        <w:pStyle w:val="ListParagraph"/>
        <w:ind w:left="1440"/>
      </w:pPr>
    </w:p>
    <w:p w14:paraId="3AA8E84D" w14:textId="2DA615BE" w:rsidR="004855F7" w:rsidRPr="004855F7" w:rsidRDefault="004855F7" w:rsidP="004855F7">
      <w:pPr>
        <w:pStyle w:val="ListParagraph"/>
        <w:numPr>
          <w:ilvl w:val="0"/>
          <w:numId w:val="10"/>
        </w:numPr>
      </w:pPr>
      <w:r w:rsidRPr="004855F7">
        <w:rPr>
          <w:b/>
          <w:bCs/>
        </w:rPr>
        <w:t>Other Services and Fees:</w:t>
      </w:r>
    </w:p>
    <w:p w14:paraId="7CE49867" w14:textId="77777777" w:rsidR="004855F7" w:rsidRPr="004855F7" w:rsidRDefault="004855F7" w:rsidP="004855F7">
      <w:pPr>
        <w:pStyle w:val="ListParagraph"/>
        <w:numPr>
          <w:ilvl w:val="1"/>
          <w:numId w:val="10"/>
        </w:numPr>
      </w:pPr>
      <w:r w:rsidRPr="004855F7">
        <w:t>Market data and platform fees</w:t>
      </w:r>
    </w:p>
    <w:p w14:paraId="68B79DBA" w14:textId="77777777" w:rsidR="004855F7" w:rsidRPr="004855F7" w:rsidRDefault="004855F7" w:rsidP="004855F7">
      <w:pPr>
        <w:pStyle w:val="ListParagraph"/>
        <w:numPr>
          <w:ilvl w:val="1"/>
          <w:numId w:val="10"/>
        </w:numPr>
      </w:pPr>
      <w:r w:rsidRPr="004855F7">
        <w:t>Account-related service fees (e.g., overnight margin, wire transfers)</w:t>
      </w:r>
    </w:p>
    <w:p w14:paraId="672AE194" w14:textId="77777777" w:rsidR="004855F7" w:rsidRPr="004855F7" w:rsidRDefault="004855F7" w:rsidP="004855F7">
      <w:pPr>
        <w:pStyle w:val="ListParagraph"/>
        <w:numPr>
          <w:ilvl w:val="1"/>
          <w:numId w:val="10"/>
        </w:numPr>
      </w:pPr>
      <w:r w:rsidRPr="004855F7">
        <w:t>Revenue from white-label and introducing broker programs</w:t>
      </w:r>
    </w:p>
    <w:p w14:paraId="731CD204" w14:textId="77777777" w:rsidR="004855F7" w:rsidRDefault="004855F7" w:rsidP="004855F7">
      <w:pPr>
        <w:pStyle w:val="ListParagraph"/>
        <w:numPr>
          <w:ilvl w:val="1"/>
          <w:numId w:val="10"/>
        </w:numPr>
      </w:pPr>
      <w:r w:rsidRPr="004855F7">
        <w:t>Currency conversion and forex trading spreads</w:t>
      </w:r>
    </w:p>
    <w:p w14:paraId="6DDA0C22" w14:textId="4E09AFD2" w:rsidR="003F76AA" w:rsidRDefault="003F76AA" w:rsidP="003F76AA">
      <w:r>
        <w:t>Client Segments:</w:t>
      </w:r>
    </w:p>
    <w:p w14:paraId="06739145" w14:textId="1467DCD3" w:rsidR="00054897" w:rsidRPr="00054897" w:rsidRDefault="00054897" w:rsidP="00054897">
      <w:pPr>
        <w:pStyle w:val="ListParagraph"/>
        <w:numPr>
          <w:ilvl w:val="0"/>
          <w:numId w:val="17"/>
        </w:numPr>
        <w:rPr>
          <w:lang w:val="en-CA"/>
        </w:rPr>
      </w:pPr>
      <w:r w:rsidRPr="00054897">
        <w:rPr>
          <w:b/>
          <w:bCs/>
          <w:lang w:val="en-CA"/>
        </w:rPr>
        <w:t>Individual Retail Investors:</w:t>
      </w:r>
      <w:r w:rsidRPr="00054897">
        <w:rPr>
          <w:lang w:val="en-CA"/>
        </w:rPr>
        <w:br/>
        <w:t>Traders and investors using IBKR for its global access, low fees, and advanced tools (like Trader Workstation and IBKR Mobile).</w:t>
      </w:r>
    </w:p>
    <w:p w14:paraId="1A98BBF7" w14:textId="3EFE7436" w:rsidR="00054897" w:rsidRPr="00054897" w:rsidRDefault="00054897" w:rsidP="00054897">
      <w:pPr>
        <w:pStyle w:val="ListParagraph"/>
        <w:numPr>
          <w:ilvl w:val="0"/>
          <w:numId w:val="17"/>
        </w:numPr>
        <w:rPr>
          <w:lang w:val="en-CA"/>
        </w:rPr>
      </w:pPr>
      <w:r w:rsidRPr="00054897">
        <w:rPr>
          <w:b/>
          <w:bCs/>
          <w:lang w:val="en-CA"/>
        </w:rPr>
        <w:t>Institutions:</w:t>
      </w:r>
      <w:r w:rsidRPr="00054897">
        <w:rPr>
          <w:lang w:val="en-CA"/>
        </w:rPr>
        <w:br/>
        <w:t>Hedge funds, RIAs, family offices, and proprietary trading firms who use IBKR for execution, custody, and financing.</w:t>
      </w:r>
    </w:p>
    <w:p w14:paraId="706FB989" w14:textId="6F8F3522" w:rsidR="00054897" w:rsidRDefault="00054897" w:rsidP="00054897">
      <w:pPr>
        <w:pStyle w:val="ListParagraph"/>
        <w:numPr>
          <w:ilvl w:val="0"/>
          <w:numId w:val="17"/>
        </w:numPr>
        <w:rPr>
          <w:lang w:val="en-CA"/>
        </w:rPr>
      </w:pPr>
      <w:r w:rsidRPr="00054897">
        <w:rPr>
          <w:b/>
          <w:bCs/>
          <w:lang w:val="en-CA"/>
        </w:rPr>
        <w:t>Introducing Brokers:</w:t>
      </w:r>
      <w:r w:rsidRPr="00054897">
        <w:rPr>
          <w:lang w:val="en-CA"/>
        </w:rPr>
        <w:br/>
        <w:t>Smaller brokers that outsource their back-end operations to IBKR while maintaining client-facing branding.</w:t>
      </w:r>
    </w:p>
    <w:p w14:paraId="3B564908" w14:textId="039E18C3" w:rsidR="00F2099E" w:rsidRPr="00A07342" w:rsidRDefault="00F2099E" w:rsidP="00F2099E">
      <w:pPr>
        <w:pStyle w:val="ListParagraph"/>
        <w:numPr>
          <w:ilvl w:val="1"/>
          <w:numId w:val="17"/>
        </w:numPr>
        <w:rPr>
          <w:lang w:val="en-CA"/>
        </w:rPr>
      </w:pPr>
      <w:r>
        <w:rPr>
          <w:b/>
          <w:bCs/>
          <w:lang w:val="en-CA"/>
        </w:rPr>
        <w:t>MOOMOO CANADA uses IBKR services.</w:t>
      </w:r>
    </w:p>
    <w:p w14:paraId="57F0F23C" w14:textId="77777777" w:rsidR="00A07342" w:rsidRPr="00054897" w:rsidRDefault="00A07342" w:rsidP="00A07342">
      <w:pPr>
        <w:pStyle w:val="ListParagraph"/>
        <w:ind w:left="1440"/>
        <w:rPr>
          <w:lang w:val="en-CA"/>
        </w:rPr>
      </w:pPr>
    </w:p>
    <w:p w14:paraId="7B75704D" w14:textId="14102883" w:rsidR="00963FA0" w:rsidRPr="00963FA0" w:rsidRDefault="00963FA0" w:rsidP="00963FA0">
      <w:pPr>
        <w:rPr>
          <w:lang w:val="en-CA"/>
        </w:rPr>
      </w:pPr>
      <w:r w:rsidRPr="00963FA0">
        <w:rPr>
          <w:lang w:val="en-CA"/>
        </w:rPr>
        <w:t>Platform &amp; Technology Focus:</w:t>
      </w:r>
    </w:p>
    <w:p w14:paraId="6362244B" w14:textId="77777777" w:rsidR="00963FA0" w:rsidRPr="00963FA0" w:rsidRDefault="00963FA0" w:rsidP="00963FA0">
      <w:pPr>
        <w:numPr>
          <w:ilvl w:val="0"/>
          <w:numId w:val="18"/>
        </w:numPr>
        <w:rPr>
          <w:lang w:val="en-CA"/>
        </w:rPr>
      </w:pPr>
      <w:r w:rsidRPr="00963FA0">
        <w:rPr>
          <w:lang w:val="en-CA"/>
        </w:rPr>
        <w:t xml:space="preserve">IBKR is </w:t>
      </w:r>
      <w:r w:rsidRPr="00963FA0">
        <w:rPr>
          <w:b/>
          <w:bCs/>
          <w:lang w:val="en-CA"/>
        </w:rPr>
        <w:t>highly automated</w:t>
      </w:r>
      <w:r w:rsidRPr="00963FA0">
        <w:rPr>
          <w:lang w:val="en-CA"/>
        </w:rPr>
        <w:t>, reducing overhead and improving scalability.</w:t>
      </w:r>
    </w:p>
    <w:p w14:paraId="471747DC" w14:textId="77777777" w:rsidR="00963FA0" w:rsidRPr="00963FA0" w:rsidRDefault="00963FA0" w:rsidP="00963FA0">
      <w:pPr>
        <w:numPr>
          <w:ilvl w:val="0"/>
          <w:numId w:val="18"/>
        </w:numPr>
        <w:rPr>
          <w:lang w:val="en-CA"/>
        </w:rPr>
      </w:pPr>
      <w:r w:rsidRPr="00963FA0">
        <w:rPr>
          <w:lang w:val="en-CA"/>
        </w:rPr>
        <w:t>Its proprietary tech infrastructure supports efficient trade execution, compliance, and risk management.</w:t>
      </w:r>
    </w:p>
    <w:p w14:paraId="79B2B2AB" w14:textId="77777777" w:rsidR="00BB5565" w:rsidRDefault="00963FA0" w:rsidP="00963FA0">
      <w:pPr>
        <w:numPr>
          <w:ilvl w:val="0"/>
          <w:numId w:val="18"/>
        </w:numPr>
        <w:rPr>
          <w:lang w:val="en-CA"/>
        </w:rPr>
      </w:pPr>
      <w:r w:rsidRPr="00963FA0">
        <w:rPr>
          <w:lang w:val="en-CA"/>
        </w:rPr>
        <w:t>The firm continues to expand AI-powered tools, portfolio analysis, and global reach.</w:t>
      </w:r>
    </w:p>
    <w:p w14:paraId="2DB691CD" w14:textId="77777777" w:rsidR="00A07342" w:rsidRDefault="00A07342" w:rsidP="00A07342">
      <w:pPr>
        <w:ind w:left="720"/>
        <w:rPr>
          <w:lang w:val="en-CA"/>
        </w:rPr>
      </w:pPr>
    </w:p>
    <w:p w14:paraId="3EDD752A" w14:textId="6193AF23" w:rsidR="00963FA0" w:rsidRPr="00963FA0" w:rsidRDefault="00963FA0" w:rsidP="00BB5565">
      <w:pPr>
        <w:rPr>
          <w:lang w:val="en-CA"/>
        </w:rPr>
      </w:pPr>
      <w:r w:rsidRPr="00963FA0">
        <w:rPr>
          <w:lang w:val="en-CA"/>
        </w:rPr>
        <w:t>Geographic Diversification:</w:t>
      </w:r>
    </w:p>
    <w:p w14:paraId="50E490E4" w14:textId="77777777" w:rsidR="00963FA0" w:rsidRPr="00963FA0" w:rsidRDefault="00963FA0" w:rsidP="00963FA0">
      <w:pPr>
        <w:numPr>
          <w:ilvl w:val="0"/>
          <w:numId w:val="19"/>
        </w:numPr>
        <w:rPr>
          <w:lang w:val="en-CA"/>
        </w:rPr>
      </w:pPr>
      <w:r w:rsidRPr="00963FA0">
        <w:rPr>
          <w:lang w:val="en-CA"/>
        </w:rPr>
        <w:t xml:space="preserve">Customers from </w:t>
      </w:r>
      <w:r w:rsidRPr="00963FA0">
        <w:rPr>
          <w:b/>
          <w:bCs/>
          <w:lang w:val="en-CA"/>
        </w:rPr>
        <w:t>200+ countries</w:t>
      </w:r>
    </w:p>
    <w:p w14:paraId="6B97635A" w14:textId="77777777" w:rsidR="00963FA0" w:rsidRPr="00963FA0" w:rsidRDefault="00963FA0" w:rsidP="00963FA0">
      <w:pPr>
        <w:numPr>
          <w:ilvl w:val="0"/>
          <w:numId w:val="19"/>
        </w:numPr>
        <w:rPr>
          <w:lang w:val="en-CA"/>
        </w:rPr>
      </w:pPr>
      <w:r w:rsidRPr="00963FA0">
        <w:rPr>
          <w:lang w:val="en-CA"/>
        </w:rPr>
        <w:t>Revenues are globally diversified, with significant operations in the U.S., Europe, and Asia.</w:t>
      </w:r>
    </w:p>
    <w:p w14:paraId="00ED6922" w14:textId="44982D43" w:rsidR="00A76A67" w:rsidRPr="0091091A" w:rsidRDefault="00A76A67" w:rsidP="00A25439"/>
    <w:p w14:paraId="42C932E6" w14:textId="7D2CF6EB" w:rsidR="002140C8" w:rsidRDefault="00000000" w:rsidP="00604515">
      <w:pPr>
        <w:pStyle w:val="Heading2"/>
      </w:pPr>
      <w:r>
        <w:lastRenderedPageBreak/>
        <w:t>2. Financials Snapshot</w:t>
      </w:r>
    </w:p>
    <w:p w14:paraId="3BB28BCE" w14:textId="77777777" w:rsidR="002140C8" w:rsidRDefault="00000000">
      <w:r>
        <w:t>• Revenue:</w:t>
      </w:r>
      <w:r>
        <w:br/>
        <w:t>• Net Income:</w:t>
      </w:r>
      <w:r>
        <w:br/>
        <w:t>• Free Cash Flow (FCF):</w:t>
      </w:r>
      <w:r>
        <w:br/>
        <w:t>• Gross Margin:</w:t>
      </w:r>
      <w:r>
        <w:br/>
        <w:t>• Operating Margin:</w:t>
      </w:r>
      <w:r>
        <w:br/>
        <w:t>• Return on Equity (ROE):</w:t>
      </w:r>
      <w:r>
        <w:br/>
        <w:t>• Debt to Equity:</w:t>
      </w:r>
      <w:r>
        <w:br/>
        <w:t>• Shares Outstanding / Buybacks:</w:t>
      </w:r>
    </w:p>
    <w:p w14:paraId="43E1B6A0" w14:textId="77777777" w:rsidR="00B2495F" w:rsidRDefault="00B2495F"/>
    <w:p w14:paraId="4BAA270A" w14:textId="77777777" w:rsidR="002140C8" w:rsidRDefault="00000000">
      <w:pPr>
        <w:pStyle w:val="Heading2"/>
      </w:pPr>
      <w:r>
        <w:t>3. Balance Sheet Health</w:t>
      </w:r>
    </w:p>
    <w:p w14:paraId="59A8963B" w14:textId="77777777" w:rsidR="002140C8" w:rsidRDefault="00000000">
      <w:r>
        <w:t>• Cash &amp; Short-Term Investments</w:t>
      </w:r>
      <w:r>
        <w:br/>
        <w:t>• Total Debt</w:t>
      </w:r>
      <w:r>
        <w:br/>
        <w:t>• Net Debt</w:t>
      </w:r>
      <w:r>
        <w:br/>
        <w:t>• Current Ratio</w:t>
      </w:r>
      <w:r>
        <w:br/>
        <w:t>• Comments on leverage, liquidity, and working capital</w:t>
      </w:r>
    </w:p>
    <w:p w14:paraId="339828FB" w14:textId="77777777" w:rsidR="002140C8" w:rsidRDefault="00000000">
      <w:pPr>
        <w:pStyle w:val="Heading2"/>
      </w:pPr>
      <w:r>
        <w:t>4. Ownership &amp; Management</w:t>
      </w:r>
    </w:p>
    <w:p w14:paraId="5D79C703" w14:textId="77777777" w:rsidR="00CC4313" w:rsidRDefault="00000000">
      <w:r>
        <w:t>• Founders / Key Executives:</w:t>
      </w:r>
    </w:p>
    <w:p w14:paraId="05A1A20E" w14:textId="1D03B7CA" w:rsidR="00CC4313" w:rsidRPr="00CC4313" w:rsidRDefault="00CC4313" w:rsidP="00CC4313">
      <w:pPr>
        <w:numPr>
          <w:ilvl w:val="0"/>
          <w:numId w:val="20"/>
        </w:numPr>
        <w:rPr>
          <w:lang w:val="en-CA"/>
        </w:rPr>
      </w:pPr>
      <w:r w:rsidRPr="00CC4313">
        <w:rPr>
          <w:b/>
          <w:bCs/>
          <w:lang w:val="en-CA"/>
        </w:rPr>
        <w:t>Thomas Peterffy</w:t>
      </w:r>
      <w:r w:rsidRPr="00CC4313">
        <w:rPr>
          <w:lang w:val="en-CA"/>
        </w:rPr>
        <w:t xml:space="preserve"> – Founder and long-time Chairman (still influential), pioneered automated trading systems; remains the largest voting power behind IBKR through </w:t>
      </w:r>
      <w:r w:rsidRPr="00CC4313">
        <w:rPr>
          <w:b/>
          <w:bCs/>
          <w:lang w:val="en-CA"/>
        </w:rPr>
        <w:t>IBG Holdings</w:t>
      </w:r>
      <w:r>
        <w:rPr>
          <w:lang w:val="en-CA"/>
        </w:rPr>
        <w:t>.</w:t>
      </w:r>
    </w:p>
    <w:p w14:paraId="24D2B21A" w14:textId="4E0CF2C3" w:rsidR="00CC4313" w:rsidRPr="00CC4313" w:rsidRDefault="00CC4313" w:rsidP="00CC4313">
      <w:pPr>
        <w:numPr>
          <w:ilvl w:val="0"/>
          <w:numId w:val="20"/>
        </w:numPr>
        <w:rPr>
          <w:lang w:val="en-CA"/>
        </w:rPr>
      </w:pPr>
      <w:r w:rsidRPr="00CC4313">
        <w:rPr>
          <w:b/>
          <w:bCs/>
          <w:lang w:val="en-CA"/>
        </w:rPr>
        <w:t>Milan Galik</w:t>
      </w:r>
      <w:r w:rsidRPr="00CC4313">
        <w:rPr>
          <w:lang w:val="en-CA"/>
        </w:rPr>
        <w:t xml:space="preserve"> – President &amp; CEO since 2019, transitioned into leadership seamlessly; under his direction, the firm accelerated its global push and maintained technological innovation</w:t>
      </w:r>
      <w:r>
        <w:rPr>
          <w:lang w:val="en-CA"/>
        </w:rPr>
        <w:t>.</w:t>
      </w:r>
    </w:p>
    <w:p w14:paraId="2E65EE8B" w14:textId="505E7EC8" w:rsidR="00CC4313" w:rsidRPr="003B0AC2" w:rsidRDefault="00000000">
      <w:r>
        <w:br/>
      </w:r>
      <w:r w:rsidRPr="003B0AC2">
        <w:t>Insider Ownership:</w:t>
      </w:r>
    </w:p>
    <w:p w14:paraId="33074F8D" w14:textId="77777777" w:rsidR="008E446F" w:rsidRPr="008E446F" w:rsidRDefault="008E446F" w:rsidP="008E446F">
      <w:pPr>
        <w:rPr>
          <w:b/>
          <w:bCs/>
          <w:lang w:val="en-CA"/>
        </w:rPr>
      </w:pPr>
      <w:r w:rsidRPr="008E446F">
        <w:rPr>
          <w:b/>
          <w:bCs/>
          <w:lang w:val="en-CA"/>
        </w:rPr>
        <w:t>Thomas Peterffy (Founder &amp; Chairman)</w:t>
      </w:r>
    </w:p>
    <w:p w14:paraId="3A83B1BC" w14:textId="00E2D1F2" w:rsidR="008E446F" w:rsidRPr="008E446F" w:rsidRDefault="008E446F" w:rsidP="008E446F">
      <w:pPr>
        <w:numPr>
          <w:ilvl w:val="0"/>
          <w:numId w:val="21"/>
        </w:numPr>
        <w:rPr>
          <w:lang w:val="en-CA"/>
        </w:rPr>
      </w:pPr>
      <w:r w:rsidRPr="008E446F">
        <w:rPr>
          <w:lang w:val="en-CA"/>
        </w:rPr>
        <w:t xml:space="preserve">He exerts dominant control through </w:t>
      </w:r>
      <w:r w:rsidRPr="008E446F">
        <w:rPr>
          <w:b/>
          <w:bCs/>
          <w:lang w:val="en-CA"/>
        </w:rPr>
        <w:t>IBG Holdings LLC</w:t>
      </w:r>
      <w:r w:rsidRPr="008E446F">
        <w:rPr>
          <w:lang w:val="en-CA"/>
        </w:rPr>
        <w:t xml:space="preserve">, which owns roughly </w:t>
      </w:r>
      <w:r w:rsidRPr="008E446F">
        <w:rPr>
          <w:b/>
          <w:bCs/>
          <w:lang w:val="en-CA"/>
        </w:rPr>
        <w:t>74.2% of the company’s voting stock</w:t>
      </w:r>
      <w:r w:rsidRPr="008E446F">
        <w:rPr>
          <w:lang w:val="en-CA"/>
        </w:rPr>
        <w:t xml:space="preserve"> (Class B shares)</w:t>
      </w:r>
      <w:r>
        <w:rPr>
          <w:lang w:val="en-CA"/>
        </w:rPr>
        <w:t>.</w:t>
      </w:r>
    </w:p>
    <w:p w14:paraId="69464725" w14:textId="4B599FF4" w:rsidR="008E446F" w:rsidRPr="008E446F" w:rsidRDefault="008E446F" w:rsidP="008E446F">
      <w:pPr>
        <w:numPr>
          <w:ilvl w:val="0"/>
          <w:numId w:val="21"/>
        </w:numPr>
        <w:rPr>
          <w:lang w:val="en-CA"/>
        </w:rPr>
      </w:pPr>
      <w:r w:rsidRPr="008E446F">
        <w:rPr>
          <w:lang w:val="en-CA"/>
        </w:rPr>
        <w:t xml:space="preserve">Within IBG Holdings, he and his affiliates hold approximately </w:t>
      </w:r>
      <w:r w:rsidRPr="008E446F">
        <w:rPr>
          <w:b/>
          <w:bCs/>
          <w:lang w:val="en-CA"/>
        </w:rPr>
        <w:t>91.4% of economic interests and all voting power</w:t>
      </w:r>
      <w:r>
        <w:rPr>
          <w:lang w:val="en-CA"/>
        </w:rPr>
        <w:t>.</w:t>
      </w:r>
    </w:p>
    <w:p w14:paraId="48244C14" w14:textId="3459F199" w:rsidR="008E446F" w:rsidRPr="008E446F" w:rsidRDefault="008E446F" w:rsidP="008E446F">
      <w:pPr>
        <w:numPr>
          <w:ilvl w:val="0"/>
          <w:numId w:val="21"/>
        </w:numPr>
        <w:rPr>
          <w:lang w:val="en-CA"/>
        </w:rPr>
      </w:pPr>
      <w:r w:rsidRPr="008E446F">
        <w:rPr>
          <w:lang w:val="en-CA"/>
        </w:rPr>
        <w:t xml:space="preserve">In effect, Peterffy is the </w:t>
      </w:r>
      <w:r w:rsidRPr="008E446F">
        <w:rPr>
          <w:b/>
          <w:bCs/>
          <w:lang w:val="en-CA"/>
        </w:rPr>
        <w:t>de facto controller of the company</w:t>
      </w:r>
      <w:r w:rsidRPr="008E446F">
        <w:rPr>
          <w:lang w:val="en-CA"/>
        </w:rPr>
        <w:t xml:space="preserve">, able to elect the entire board and govern all material decisions despite publicly possessing only a </w:t>
      </w:r>
      <w:r w:rsidRPr="008E446F">
        <w:rPr>
          <w:b/>
          <w:bCs/>
          <w:lang w:val="en-CA"/>
        </w:rPr>
        <w:t>1–1.5% direct stake in Class A shares</w:t>
      </w:r>
      <w:r>
        <w:rPr>
          <w:lang w:val="en-CA"/>
        </w:rPr>
        <w:t>.</w:t>
      </w:r>
    </w:p>
    <w:p w14:paraId="33877BD9" w14:textId="77777777" w:rsidR="008E446F" w:rsidRPr="008E446F" w:rsidRDefault="008E446F" w:rsidP="008E446F">
      <w:pPr>
        <w:rPr>
          <w:b/>
          <w:bCs/>
          <w:lang w:val="en-CA"/>
        </w:rPr>
      </w:pPr>
      <w:r w:rsidRPr="008E446F">
        <w:rPr>
          <w:b/>
          <w:bCs/>
          <w:lang w:val="en-CA"/>
        </w:rPr>
        <w:t>Other Executives &amp; Directors</w:t>
      </w:r>
    </w:p>
    <w:p w14:paraId="12710D0B" w14:textId="77777777" w:rsidR="007421CE" w:rsidRDefault="008E446F" w:rsidP="007421CE">
      <w:pPr>
        <w:numPr>
          <w:ilvl w:val="0"/>
          <w:numId w:val="22"/>
        </w:numPr>
        <w:rPr>
          <w:lang w:val="en-CA"/>
        </w:rPr>
      </w:pPr>
      <w:r w:rsidRPr="008E446F">
        <w:rPr>
          <w:lang w:val="en-CA"/>
        </w:rPr>
        <w:lastRenderedPageBreak/>
        <w:t xml:space="preserve">Combined, the other insiders (including CEO </w:t>
      </w:r>
      <w:r w:rsidRPr="008E446F">
        <w:rPr>
          <w:b/>
          <w:bCs/>
          <w:lang w:val="en-CA"/>
        </w:rPr>
        <w:t>Milan Galik</w:t>
      </w:r>
      <w:r w:rsidRPr="008E446F">
        <w:rPr>
          <w:lang w:val="en-CA"/>
        </w:rPr>
        <w:t xml:space="preserve">, Vice-Chairman </w:t>
      </w:r>
      <w:r w:rsidRPr="008E446F">
        <w:rPr>
          <w:b/>
          <w:bCs/>
          <w:lang w:val="en-CA"/>
        </w:rPr>
        <w:t xml:space="preserve">Earl </w:t>
      </w:r>
      <w:proofErr w:type="spellStart"/>
      <w:r w:rsidRPr="008E446F">
        <w:rPr>
          <w:b/>
          <w:bCs/>
          <w:lang w:val="en-CA"/>
        </w:rPr>
        <w:t>Nemser</w:t>
      </w:r>
      <w:proofErr w:type="spellEnd"/>
      <w:r w:rsidRPr="008E446F">
        <w:rPr>
          <w:lang w:val="en-CA"/>
        </w:rPr>
        <w:t xml:space="preserve">, and board members) hold roughly </w:t>
      </w:r>
      <w:r w:rsidRPr="008E446F">
        <w:rPr>
          <w:b/>
          <w:bCs/>
          <w:lang w:val="en-CA"/>
        </w:rPr>
        <w:t>2.97–3.35% of the outstanding shares</w:t>
      </w:r>
      <w:r w:rsidR="00C54995">
        <w:rPr>
          <w:lang w:val="en-CA"/>
        </w:rPr>
        <w:t>.</w:t>
      </w:r>
    </w:p>
    <w:p w14:paraId="234DA5CF" w14:textId="24AC8173" w:rsidR="007421CE" w:rsidRPr="00715730" w:rsidRDefault="00000000" w:rsidP="007421CE">
      <w:pPr>
        <w:rPr>
          <w:b/>
          <w:bCs/>
        </w:rPr>
      </w:pPr>
      <w:r>
        <w:br/>
      </w:r>
      <w:r w:rsidRPr="00715730">
        <w:rPr>
          <w:b/>
          <w:bCs/>
        </w:rPr>
        <w:t>Skin in the game?</w:t>
      </w:r>
    </w:p>
    <w:p w14:paraId="21D48D56" w14:textId="7A0C424E" w:rsidR="007421CE" w:rsidRDefault="00D31E50" w:rsidP="007421CE">
      <w:r w:rsidRPr="00D31E50">
        <w:t>Thomas Peterffy, the founder and Chairman, controls ~74–75% of voting power via IBG Holdings and holds ~91% of economic interest in that vehicle—ensuring alignment with shareholders. Other executives collectively own ~3% of Class A stock.</w:t>
      </w:r>
    </w:p>
    <w:p w14:paraId="6F68ECF6" w14:textId="5068B9E2" w:rsidR="002140C8" w:rsidRPr="00715730" w:rsidRDefault="00000000" w:rsidP="007421CE">
      <w:pPr>
        <w:rPr>
          <w:b/>
          <w:bCs/>
        </w:rPr>
      </w:pPr>
      <w:r w:rsidRPr="00715730">
        <w:rPr>
          <w:b/>
          <w:bCs/>
        </w:rPr>
        <w:br/>
        <w:t>Capital Allocation Track Record:</w:t>
      </w:r>
    </w:p>
    <w:p w14:paraId="35BB8937" w14:textId="1673D2DE" w:rsidR="00A9165F" w:rsidRDefault="00A9165F" w:rsidP="007421CE">
      <w:r>
        <w:t xml:space="preserve">Dividend Policy: </w:t>
      </w:r>
      <w:r w:rsidRPr="00A9165F">
        <w:t xml:space="preserve">In </w:t>
      </w:r>
      <w:r w:rsidRPr="00A9165F">
        <w:rPr>
          <w:b/>
          <w:bCs/>
        </w:rPr>
        <w:t>April 2025</w:t>
      </w:r>
      <w:r w:rsidRPr="00A9165F">
        <w:t xml:space="preserve">, IBKR raised its </w:t>
      </w:r>
      <w:r w:rsidRPr="00A9165F">
        <w:rPr>
          <w:b/>
          <w:bCs/>
        </w:rPr>
        <w:t>quarterly dividend from $0.25 to $0.32 per share</w:t>
      </w:r>
      <w:r w:rsidRPr="00A9165F">
        <w:t>, signaling renewed confidence in cash flow durability and shareholder returns</w:t>
      </w:r>
      <w:r>
        <w:t>.</w:t>
      </w:r>
    </w:p>
    <w:p w14:paraId="5B4E8C76" w14:textId="6AD5114E" w:rsidR="000C5D65" w:rsidRDefault="000C5D65" w:rsidP="007421CE">
      <w:r w:rsidRPr="00FE7F94">
        <w:rPr>
          <w:b/>
          <w:bCs/>
          <w:highlight w:val="yellow"/>
        </w:rPr>
        <w:t>Capital Allocation Track Record</w:t>
      </w:r>
      <w:r w:rsidRPr="00FE7F94">
        <w:rPr>
          <w:b/>
          <w:bCs/>
          <w:highlight w:val="yellow"/>
        </w:rPr>
        <w:t xml:space="preserve"> Table</w:t>
      </w:r>
      <w:r w:rsidRPr="00FE7F94">
        <w:rPr>
          <w:b/>
          <w:bCs/>
          <w:highlight w:val="yellow"/>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02"/>
        <w:gridCol w:w="3864"/>
      </w:tblGrid>
      <w:tr w:rsidR="000C5D65" w:rsidRPr="000C5D65" w14:paraId="09ED741E" w14:textId="77777777" w:rsidTr="000C5D65">
        <w:trPr>
          <w:tblHeader/>
          <w:tblCellSpacing w:w="15" w:type="dxa"/>
        </w:trPr>
        <w:tc>
          <w:tcPr>
            <w:tcW w:w="3357" w:type="dxa"/>
            <w:vAlign w:val="center"/>
            <w:hideMark/>
          </w:tcPr>
          <w:p w14:paraId="34784FBD" w14:textId="77777777" w:rsidR="000C5D65" w:rsidRPr="000C5D65" w:rsidRDefault="000C5D65" w:rsidP="000C5D65">
            <w:pPr>
              <w:rPr>
                <w:b/>
                <w:bCs/>
                <w:lang w:val="en-CA"/>
              </w:rPr>
            </w:pPr>
            <w:r w:rsidRPr="000C5D65">
              <w:rPr>
                <w:b/>
                <w:bCs/>
                <w:lang w:val="en-CA"/>
              </w:rPr>
              <w:t>Category</w:t>
            </w:r>
          </w:p>
        </w:tc>
        <w:tc>
          <w:tcPr>
            <w:tcW w:w="3819" w:type="dxa"/>
            <w:vAlign w:val="center"/>
            <w:hideMark/>
          </w:tcPr>
          <w:p w14:paraId="0697D5B0" w14:textId="77777777" w:rsidR="000C5D65" w:rsidRPr="000C5D65" w:rsidRDefault="000C5D65" w:rsidP="000C5D65">
            <w:pPr>
              <w:rPr>
                <w:b/>
                <w:bCs/>
                <w:lang w:val="en-CA"/>
              </w:rPr>
            </w:pPr>
            <w:r w:rsidRPr="000C5D65">
              <w:rPr>
                <w:b/>
                <w:bCs/>
                <w:lang w:val="en-CA"/>
              </w:rPr>
              <w:t>Summary of IBKR Practice</w:t>
            </w:r>
          </w:p>
        </w:tc>
      </w:tr>
      <w:tr w:rsidR="000C5D65" w:rsidRPr="000C5D65" w14:paraId="68F010EF" w14:textId="77777777" w:rsidTr="000C5D65">
        <w:trPr>
          <w:tblCellSpacing w:w="15" w:type="dxa"/>
        </w:trPr>
        <w:tc>
          <w:tcPr>
            <w:tcW w:w="3357" w:type="dxa"/>
            <w:vAlign w:val="center"/>
            <w:hideMark/>
          </w:tcPr>
          <w:p w14:paraId="758C58B2" w14:textId="77777777" w:rsidR="000C5D65" w:rsidRPr="000C5D65" w:rsidRDefault="000C5D65" w:rsidP="000C5D65">
            <w:pPr>
              <w:rPr>
                <w:lang w:val="en-CA"/>
              </w:rPr>
            </w:pPr>
            <w:r w:rsidRPr="000C5D65">
              <w:rPr>
                <w:lang w:val="en-CA"/>
              </w:rPr>
              <w:t>Dividends</w:t>
            </w:r>
          </w:p>
        </w:tc>
        <w:tc>
          <w:tcPr>
            <w:tcW w:w="3819" w:type="dxa"/>
            <w:vAlign w:val="center"/>
            <w:hideMark/>
          </w:tcPr>
          <w:p w14:paraId="24338E8A" w14:textId="77777777" w:rsidR="000C5D65" w:rsidRPr="000C5D65" w:rsidRDefault="000C5D65" w:rsidP="000C5D65">
            <w:pPr>
              <w:rPr>
                <w:lang w:val="en-CA"/>
              </w:rPr>
            </w:pPr>
            <w:r w:rsidRPr="000C5D65">
              <w:rPr>
                <w:lang w:val="en-CA"/>
              </w:rPr>
              <w:t>Recently increased; reliable but conservative</w:t>
            </w:r>
          </w:p>
        </w:tc>
      </w:tr>
      <w:tr w:rsidR="000C5D65" w:rsidRPr="000C5D65" w14:paraId="1CA4D62F" w14:textId="77777777" w:rsidTr="000C5D65">
        <w:trPr>
          <w:tblCellSpacing w:w="15" w:type="dxa"/>
        </w:trPr>
        <w:tc>
          <w:tcPr>
            <w:tcW w:w="3357" w:type="dxa"/>
            <w:vAlign w:val="center"/>
            <w:hideMark/>
          </w:tcPr>
          <w:p w14:paraId="5CC681A1" w14:textId="77777777" w:rsidR="000C5D65" w:rsidRPr="000C5D65" w:rsidRDefault="000C5D65" w:rsidP="000C5D65">
            <w:pPr>
              <w:rPr>
                <w:lang w:val="en-CA"/>
              </w:rPr>
            </w:pPr>
            <w:r w:rsidRPr="000C5D65">
              <w:rPr>
                <w:lang w:val="en-CA"/>
              </w:rPr>
              <w:t>Share Buybacks</w:t>
            </w:r>
          </w:p>
        </w:tc>
        <w:tc>
          <w:tcPr>
            <w:tcW w:w="3819" w:type="dxa"/>
            <w:vAlign w:val="center"/>
            <w:hideMark/>
          </w:tcPr>
          <w:p w14:paraId="4667F167" w14:textId="77777777" w:rsidR="000C5D65" w:rsidRPr="000C5D65" w:rsidRDefault="000C5D65" w:rsidP="000C5D65">
            <w:pPr>
              <w:rPr>
                <w:lang w:val="en-CA"/>
              </w:rPr>
            </w:pPr>
            <w:r w:rsidRPr="000C5D65">
              <w:rPr>
                <w:lang w:val="en-CA"/>
              </w:rPr>
              <w:t>Modest in scale; opportunistic and cautious</w:t>
            </w:r>
          </w:p>
        </w:tc>
      </w:tr>
      <w:tr w:rsidR="000C5D65" w:rsidRPr="000C5D65" w14:paraId="59E2AAAF" w14:textId="77777777" w:rsidTr="000C5D65">
        <w:trPr>
          <w:tblCellSpacing w:w="15" w:type="dxa"/>
        </w:trPr>
        <w:tc>
          <w:tcPr>
            <w:tcW w:w="3357" w:type="dxa"/>
            <w:vAlign w:val="center"/>
            <w:hideMark/>
          </w:tcPr>
          <w:p w14:paraId="7AB993C6" w14:textId="77777777" w:rsidR="000C5D65" w:rsidRPr="000C5D65" w:rsidRDefault="000C5D65" w:rsidP="000C5D65">
            <w:pPr>
              <w:rPr>
                <w:lang w:val="en-CA"/>
              </w:rPr>
            </w:pPr>
            <w:r w:rsidRPr="000C5D65">
              <w:rPr>
                <w:lang w:val="en-CA"/>
              </w:rPr>
              <w:t>Debt Management</w:t>
            </w:r>
          </w:p>
        </w:tc>
        <w:tc>
          <w:tcPr>
            <w:tcW w:w="3819" w:type="dxa"/>
            <w:vAlign w:val="center"/>
            <w:hideMark/>
          </w:tcPr>
          <w:p w14:paraId="3C6716CE" w14:textId="77777777" w:rsidR="000C5D65" w:rsidRPr="000C5D65" w:rsidRDefault="000C5D65" w:rsidP="000C5D65">
            <w:pPr>
              <w:rPr>
                <w:lang w:val="en-CA"/>
              </w:rPr>
            </w:pPr>
            <w:r w:rsidRPr="000C5D65">
              <w:rPr>
                <w:lang w:val="en-CA"/>
              </w:rPr>
              <w:t>Significant deleveraging, now in net cash position</w:t>
            </w:r>
          </w:p>
        </w:tc>
      </w:tr>
      <w:tr w:rsidR="000C5D65" w:rsidRPr="000C5D65" w14:paraId="5336D489" w14:textId="77777777" w:rsidTr="000C5D65">
        <w:trPr>
          <w:tblCellSpacing w:w="15" w:type="dxa"/>
        </w:trPr>
        <w:tc>
          <w:tcPr>
            <w:tcW w:w="3357" w:type="dxa"/>
            <w:vAlign w:val="center"/>
            <w:hideMark/>
          </w:tcPr>
          <w:p w14:paraId="67BAF136" w14:textId="77777777" w:rsidR="000C5D65" w:rsidRPr="000C5D65" w:rsidRDefault="000C5D65" w:rsidP="000C5D65">
            <w:pPr>
              <w:rPr>
                <w:lang w:val="en-CA"/>
              </w:rPr>
            </w:pPr>
            <w:r w:rsidRPr="000C5D65">
              <w:rPr>
                <w:lang w:val="en-CA"/>
              </w:rPr>
              <w:t>Strategic Reinvestment</w:t>
            </w:r>
          </w:p>
        </w:tc>
        <w:tc>
          <w:tcPr>
            <w:tcW w:w="3819" w:type="dxa"/>
            <w:vAlign w:val="center"/>
            <w:hideMark/>
          </w:tcPr>
          <w:p w14:paraId="09C48534" w14:textId="77777777" w:rsidR="000C5D65" w:rsidRPr="000C5D65" w:rsidRDefault="000C5D65" w:rsidP="000C5D65">
            <w:pPr>
              <w:rPr>
                <w:lang w:val="en-CA"/>
              </w:rPr>
            </w:pPr>
            <w:r w:rsidRPr="000C5D65">
              <w:rPr>
                <w:lang w:val="en-CA"/>
              </w:rPr>
              <w:t>Focused on tech, platform expansion, and client base</w:t>
            </w:r>
          </w:p>
        </w:tc>
      </w:tr>
    </w:tbl>
    <w:p w14:paraId="1D862332" w14:textId="77777777" w:rsidR="00A9165F" w:rsidRPr="007421CE" w:rsidRDefault="00A9165F" w:rsidP="007421CE">
      <w:pPr>
        <w:rPr>
          <w:lang w:val="en-CA"/>
        </w:rPr>
      </w:pPr>
    </w:p>
    <w:p w14:paraId="27579A05" w14:textId="77777777" w:rsidR="002140C8" w:rsidRDefault="00000000">
      <w:pPr>
        <w:pStyle w:val="Heading2"/>
      </w:pPr>
      <w:r>
        <w:t>5. Competitive Advantage (Moat)</w:t>
      </w:r>
    </w:p>
    <w:p w14:paraId="4EEBFB2E" w14:textId="4DF169B7" w:rsidR="007B7E69" w:rsidRPr="00E76E78" w:rsidRDefault="004E7F6E" w:rsidP="00E76E78">
      <w:pPr>
        <w:rPr>
          <w:highlight w:val="yellow"/>
        </w:rPr>
      </w:pPr>
      <w:r>
        <w:rPr>
          <w:highlight w:val="yellow"/>
        </w:rPr>
        <w:t xml:space="preserve">Cheap Prices: </w:t>
      </w:r>
      <w:r w:rsidR="007B7E69" w:rsidRPr="00E76E78">
        <w:rPr>
          <w:highlight w:val="yellow"/>
        </w:rPr>
        <w:t>How do they offer cheaper prices?</w:t>
      </w:r>
    </w:p>
    <w:p w14:paraId="4E0FF232" w14:textId="77777777" w:rsidR="007B7E69" w:rsidRPr="00EA6B20" w:rsidRDefault="007B7E69" w:rsidP="00E76E78">
      <w:pPr>
        <w:pStyle w:val="ListParagraph"/>
        <w:numPr>
          <w:ilvl w:val="1"/>
          <w:numId w:val="10"/>
        </w:numPr>
        <w:rPr>
          <w:lang w:val="en-CA"/>
        </w:rPr>
      </w:pPr>
      <w:r w:rsidRPr="00EA6B20">
        <w:rPr>
          <w:b/>
          <w:bCs/>
          <w:lang w:val="en-CA"/>
        </w:rPr>
        <w:t>Automation-Driven Operations</w:t>
      </w:r>
    </w:p>
    <w:p w14:paraId="54CB43E0" w14:textId="77777777" w:rsidR="007B7E69" w:rsidRPr="00EA6B20" w:rsidRDefault="007B7E69" w:rsidP="00E76E78">
      <w:pPr>
        <w:pStyle w:val="ListParagraph"/>
        <w:numPr>
          <w:ilvl w:val="2"/>
          <w:numId w:val="10"/>
        </w:numPr>
        <w:rPr>
          <w:lang w:val="en-CA"/>
        </w:rPr>
      </w:pPr>
      <w:r w:rsidRPr="00EA6B20">
        <w:rPr>
          <w:lang w:val="en-CA"/>
        </w:rPr>
        <w:t>End-to-end automation reduces manual labor and costs.</w:t>
      </w:r>
    </w:p>
    <w:p w14:paraId="14F7CECE" w14:textId="77777777" w:rsidR="007B7E69" w:rsidRPr="00EA6B20" w:rsidRDefault="007B7E69" w:rsidP="00E76E78">
      <w:pPr>
        <w:pStyle w:val="ListParagraph"/>
        <w:numPr>
          <w:ilvl w:val="1"/>
          <w:numId w:val="10"/>
        </w:numPr>
        <w:rPr>
          <w:lang w:val="en-CA"/>
        </w:rPr>
      </w:pPr>
      <w:r w:rsidRPr="00EA6B20">
        <w:rPr>
          <w:b/>
          <w:bCs/>
          <w:lang w:val="en-CA"/>
        </w:rPr>
        <w:t>High Operating Leverage</w:t>
      </w:r>
    </w:p>
    <w:p w14:paraId="01C573EE" w14:textId="77777777" w:rsidR="007B7E69" w:rsidRPr="00EA6B20" w:rsidRDefault="007B7E69" w:rsidP="00E76E78">
      <w:pPr>
        <w:pStyle w:val="ListParagraph"/>
        <w:numPr>
          <w:ilvl w:val="2"/>
          <w:numId w:val="10"/>
        </w:numPr>
        <w:rPr>
          <w:lang w:val="en-CA"/>
        </w:rPr>
      </w:pPr>
      <w:r w:rsidRPr="00EA6B20">
        <w:rPr>
          <w:lang w:val="en-CA"/>
        </w:rPr>
        <w:t>Scalable infrastructure lowers cost per trade as volume increases.</w:t>
      </w:r>
    </w:p>
    <w:p w14:paraId="0EFD22B1" w14:textId="77777777" w:rsidR="007B7E69" w:rsidRPr="00EA6B20" w:rsidRDefault="007B7E69" w:rsidP="00E76E78">
      <w:pPr>
        <w:pStyle w:val="ListParagraph"/>
        <w:numPr>
          <w:ilvl w:val="1"/>
          <w:numId w:val="10"/>
        </w:numPr>
        <w:rPr>
          <w:lang w:val="en-CA"/>
        </w:rPr>
      </w:pPr>
      <w:r w:rsidRPr="00EA6B20">
        <w:rPr>
          <w:b/>
          <w:bCs/>
          <w:lang w:val="en-CA"/>
        </w:rPr>
        <w:t>Direct Market Access (DMA)</w:t>
      </w:r>
    </w:p>
    <w:p w14:paraId="2028A0BE" w14:textId="77777777" w:rsidR="007B7E69" w:rsidRPr="00EA6B20" w:rsidRDefault="007B7E69" w:rsidP="00E76E78">
      <w:pPr>
        <w:pStyle w:val="ListParagraph"/>
        <w:numPr>
          <w:ilvl w:val="2"/>
          <w:numId w:val="10"/>
        </w:numPr>
        <w:rPr>
          <w:lang w:val="en-CA"/>
        </w:rPr>
      </w:pPr>
      <w:r w:rsidRPr="00EA6B20">
        <w:rPr>
          <w:lang w:val="en-CA"/>
        </w:rPr>
        <w:t>Bypasses intermediaries for cheaper, faster execution.</w:t>
      </w:r>
    </w:p>
    <w:p w14:paraId="51AB6B98" w14:textId="77777777" w:rsidR="007B7E69" w:rsidRPr="00EA6B20" w:rsidRDefault="007B7E69" w:rsidP="00E76E78">
      <w:pPr>
        <w:pStyle w:val="ListParagraph"/>
        <w:numPr>
          <w:ilvl w:val="1"/>
          <w:numId w:val="10"/>
        </w:numPr>
        <w:rPr>
          <w:lang w:val="en-CA"/>
        </w:rPr>
      </w:pPr>
      <w:r w:rsidRPr="00EA6B20">
        <w:rPr>
          <w:b/>
          <w:bCs/>
          <w:lang w:val="en-CA"/>
        </w:rPr>
        <w:t>Professional &amp; High-Volume Client Base</w:t>
      </w:r>
    </w:p>
    <w:p w14:paraId="384B8681" w14:textId="77777777" w:rsidR="007B7E69" w:rsidRPr="00EA6B20" w:rsidRDefault="007B7E69" w:rsidP="00E76E78">
      <w:pPr>
        <w:pStyle w:val="ListParagraph"/>
        <w:numPr>
          <w:ilvl w:val="2"/>
          <w:numId w:val="10"/>
        </w:numPr>
        <w:rPr>
          <w:lang w:val="en-CA"/>
        </w:rPr>
      </w:pPr>
      <w:r w:rsidRPr="00EA6B20">
        <w:rPr>
          <w:lang w:val="en-CA"/>
        </w:rPr>
        <w:t>Attracts active traders who generate consistent trade volume.</w:t>
      </w:r>
    </w:p>
    <w:p w14:paraId="4473C600" w14:textId="77777777" w:rsidR="007B7E69" w:rsidRPr="00EA6B20" w:rsidRDefault="007B7E69" w:rsidP="00E76E78">
      <w:pPr>
        <w:pStyle w:val="ListParagraph"/>
        <w:numPr>
          <w:ilvl w:val="1"/>
          <w:numId w:val="10"/>
        </w:numPr>
        <w:rPr>
          <w:lang w:val="en-CA"/>
        </w:rPr>
      </w:pPr>
      <w:r w:rsidRPr="00EA6B20">
        <w:rPr>
          <w:b/>
          <w:bCs/>
          <w:lang w:val="en-CA"/>
        </w:rPr>
        <w:lastRenderedPageBreak/>
        <w:t>Minimal Marketing Spend</w:t>
      </w:r>
    </w:p>
    <w:p w14:paraId="2BBD3AB0" w14:textId="3B7F3FE0" w:rsidR="007B7E69" w:rsidRDefault="007B7E69" w:rsidP="00E76E78">
      <w:pPr>
        <w:pStyle w:val="ListParagraph"/>
        <w:numPr>
          <w:ilvl w:val="2"/>
          <w:numId w:val="10"/>
        </w:numPr>
        <w:rPr>
          <w:lang w:val="en-CA"/>
        </w:rPr>
      </w:pPr>
      <w:r w:rsidRPr="00EA6B20">
        <w:rPr>
          <w:lang w:val="en-CA"/>
        </w:rPr>
        <w:t>Relies on product quality and reputation instead of high customer acquisition costs</w:t>
      </w:r>
      <w:r>
        <w:rPr>
          <w:lang w:val="en-CA"/>
        </w:rPr>
        <w:t>.</w:t>
      </w:r>
    </w:p>
    <w:p w14:paraId="04FDCB29" w14:textId="77777777" w:rsidR="007B7E69" w:rsidRPr="007B7E69" w:rsidRDefault="007B7E69" w:rsidP="00871124">
      <w:pPr>
        <w:pStyle w:val="ListParagraph"/>
        <w:ind w:left="3600"/>
        <w:rPr>
          <w:lang w:val="en-CA"/>
        </w:rPr>
      </w:pPr>
    </w:p>
    <w:p w14:paraId="52649012" w14:textId="77777777" w:rsidR="00640BC9" w:rsidRDefault="00000000">
      <w:r>
        <w:t>• Brand? Network effects? Switching costs? Scale?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8"/>
        <w:gridCol w:w="3922"/>
        <w:gridCol w:w="2620"/>
      </w:tblGrid>
      <w:tr w:rsidR="00640BC9" w:rsidRPr="00640BC9" w14:paraId="18634271" w14:textId="77777777">
        <w:trPr>
          <w:tblHeader/>
          <w:tblCellSpacing w:w="15" w:type="dxa"/>
        </w:trPr>
        <w:tc>
          <w:tcPr>
            <w:tcW w:w="0" w:type="auto"/>
            <w:vAlign w:val="center"/>
            <w:hideMark/>
          </w:tcPr>
          <w:p w14:paraId="5FEF7371" w14:textId="77777777" w:rsidR="00640BC9" w:rsidRPr="00640BC9" w:rsidRDefault="00640BC9" w:rsidP="00640BC9">
            <w:pPr>
              <w:rPr>
                <w:b/>
                <w:bCs/>
                <w:lang w:val="en-CA"/>
              </w:rPr>
            </w:pPr>
            <w:r w:rsidRPr="00640BC9">
              <w:rPr>
                <w:b/>
                <w:bCs/>
                <w:lang w:val="en-CA"/>
              </w:rPr>
              <w:t>Moat Dimension</w:t>
            </w:r>
          </w:p>
        </w:tc>
        <w:tc>
          <w:tcPr>
            <w:tcW w:w="0" w:type="auto"/>
            <w:vAlign w:val="center"/>
            <w:hideMark/>
          </w:tcPr>
          <w:p w14:paraId="002C9451" w14:textId="77777777" w:rsidR="00640BC9" w:rsidRPr="00640BC9" w:rsidRDefault="00640BC9" w:rsidP="00640BC9">
            <w:pPr>
              <w:rPr>
                <w:b/>
                <w:bCs/>
                <w:lang w:val="en-CA"/>
              </w:rPr>
            </w:pPr>
            <w:r w:rsidRPr="00640BC9">
              <w:rPr>
                <w:b/>
                <w:bCs/>
                <w:lang w:val="en-CA"/>
              </w:rPr>
              <w:t>Strength &amp; Contribution</w:t>
            </w:r>
          </w:p>
        </w:tc>
        <w:tc>
          <w:tcPr>
            <w:tcW w:w="0" w:type="auto"/>
            <w:vAlign w:val="center"/>
            <w:hideMark/>
          </w:tcPr>
          <w:p w14:paraId="494287DF" w14:textId="77777777" w:rsidR="00640BC9" w:rsidRPr="00640BC9" w:rsidRDefault="00640BC9" w:rsidP="00640BC9">
            <w:pPr>
              <w:rPr>
                <w:b/>
                <w:bCs/>
                <w:lang w:val="en-CA"/>
              </w:rPr>
            </w:pPr>
            <w:r w:rsidRPr="00640BC9">
              <w:rPr>
                <w:b/>
                <w:bCs/>
                <w:lang w:val="en-CA"/>
              </w:rPr>
              <w:t>Durable / Trend</w:t>
            </w:r>
          </w:p>
        </w:tc>
      </w:tr>
      <w:tr w:rsidR="00640BC9" w:rsidRPr="00640BC9" w14:paraId="2D8EC58F" w14:textId="77777777">
        <w:trPr>
          <w:tblCellSpacing w:w="15" w:type="dxa"/>
        </w:trPr>
        <w:tc>
          <w:tcPr>
            <w:tcW w:w="0" w:type="auto"/>
            <w:vAlign w:val="center"/>
            <w:hideMark/>
          </w:tcPr>
          <w:p w14:paraId="32F8B567" w14:textId="77777777" w:rsidR="00640BC9" w:rsidRPr="00640BC9" w:rsidRDefault="00640BC9" w:rsidP="00640BC9">
            <w:pPr>
              <w:rPr>
                <w:lang w:val="en-CA"/>
              </w:rPr>
            </w:pPr>
            <w:r w:rsidRPr="00640BC9">
              <w:rPr>
                <w:lang w:val="en-CA"/>
              </w:rPr>
              <w:t>Brand</w:t>
            </w:r>
          </w:p>
        </w:tc>
        <w:tc>
          <w:tcPr>
            <w:tcW w:w="0" w:type="auto"/>
            <w:vAlign w:val="center"/>
            <w:hideMark/>
          </w:tcPr>
          <w:p w14:paraId="0A540DC8" w14:textId="77777777" w:rsidR="00640BC9" w:rsidRPr="00640BC9" w:rsidRDefault="00640BC9" w:rsidP="00640BC9">
            <w:pPr>
              <w:rPr>
                <w:lang w:val="en-CA"/>
              </w:rPr>
            </w:pPr>
            <w:r w:rsidRPr="00640BC9">
              <w:rPr>
                <w:lang w:val="en-CA"/>
              </w:rPr>
              <w:t>Niche institutional &amp; pro-level recognition</w:t>
            </w:r>
          </w:p>
        </w:tc>
        <w:tc>
          <w:tcPr>
            <w:tcW w:w="0" w:type="auto"/>
            <w:vAlign w:val="center"/>
            <w:hideMark/>
          </w:tcPr>
          <w:p w14:paraId="55A17192" w14:textId="77777777" w:rsidR="00640BC9" w:rsidRPr="00640BC9" w:rsidRDefault="00640BC9" w:rsidP="00640BC9">
            <w:pPr>
              <w:rPr>
                <w:lang w:val="en-CA"/>
              </w:rPr>
            </w:pPr>
            <w:r w:rsidRPr="00640BC9">
              <w:rPr>
                <w:lang w:val="en-CA"/>
              </w:rPr>
              <w:t>Moderate, stable</w:t>
            </w:r>
          </w:p>
        </w:tc>
      </w:tr>
      <w:tr w:rsidR="00640BC9" w:rsidRPr="00640BC9" w14:paraId="7B76EFF2" w14:textId="77777777">
        <w:trPr>
          <w:tblCellSpacing w:w="15" w:type="dxa"/>
        </w:trPr>
        <w:tc>
          <w:tcPr>
            <w:tcW w:w="0" w:type="auto"/>
            <w:vAlign w:val="center"/>
            <w:hideMark/>
          </w:tcPr>
          <w:p w14:paraId="593DB86B" w14:textId="77777777" w:rsidR="00640BC9" w:rsidRPr="00640BC9" w:rsidRDefault="00640BC9" w:rsidP="00640BC9">
            <w:pPr>
              <w:rPr>
                <w:lang w:val="en-CA"/>
              </w:rPr>
            </w:pPr>
            <w:r w:rsidRPr="00640BC9">
              <w:rPr>
                <w:lang w:val="en-CA"/>
              </w:rPr>
              <w:t>Network Effects</w:t>
            </w:r>
          </w:p>
        </w:tc>
        <w:tc>
          <w:tcPr>
            <w:tcW w:w="0" w:type="auto"/>
            <w:vAlign w:val="center"/>
            <w:hideMark/>
          </w:tcPr>
          <w:p w14:paraId="2FD8C6ED" w14:textId="77777777" w:rsidR="00640BC9" w:rsidRPr="00640BC9" w:rsidRDefault="00640BC9" w:rsidP="00640BC9">
            <w:pPr>
              <w:rPr>
                <w:lang w:val="en-CA"/>
              </w:rPr>
            </w:pPr>
            <w:r w:rsidRPr="00640BC9">
              <w:rPr>
                <w:lang w:val="en-CA"/>
              </w:rPr>
              <w:t>Minimal</w:t>
            </w:r>
          </w:p>
        </w:tc>
        <w:tc>
          <w:tcPr>
            <w:tcW w:w="0" w:type="auto"/>
            <w:vAlign w:val="center"/>
            <w:hideMark/>
          </w:tcPr>
          <w:p w14:paraId="2A5434B6" w14:textId="77777777" w:rsidR="00640BC9" w:rsidRPr="00640BC9" w:rsidRDefault="00640BC9" w:rsidP="00640BC9">
            <w:pPr>
              <w:rPr>
                <w:lang w:val="en-CA"/>
              </w:rPr>
            </w:pPr>
            <w:r w:rsidRPr="00640BC9">
              <w:rPr>
                <w:lang w:val="en-CA"/>
              </w:rPr>
              <w:t>Weak</w:t>
            </w:r>
          </w:p>
        </w:tc>
      </w:tr>
      <w:tr w:rsidR="00640BC9" w:rsidRPr="00640BC9" w14:paraId="44BBE716" w14:textId="77777777">
        <w:trPr>
          <w:tblCellSpacing w:w="15" w:type="dxa"/>
        </w:trPr>
        <w:tc>
          <w:tcPr>
            <w:tcW w:w="0" w:type="auto"/>
            <w:vAlign w:val="center"/>
            <w:hideMark/>
          </w:tcPr>
          <w:p w14:paraId="1CE02235" w14:textId="77777777" w:rsidR="00640BC9" w:rsidRPr="00640BC9" w:rsidRDefault="00640BC9" w:rsidP="00640BC9">
            <w:pPr>
              <w:rPr>
                <w:lang w:val="en-CA"/>
              </w:rPr>
            </w:pPr>
            <w:r w:rsidRPr="00640BC9">
              <w:rPr>
                <w:lang w:val="en-CA"/>
              </w:rPr>
              <w:t>Switching Costs</w:t>
            </w:r>
          </w:p>
        </w:tc>
        <w:tc>
          <w:tcPr>
            <w:tcW w:w="0" w:type="auto"/>
            <w:vAlign w:val="center"/>
            <w:hideMark/>
          </w:tcPr>
          <w:p w14:paraId="5D8D1881" w14:textId="77777777" w:rsidR="00640BC9" w:rsidRPr="00640BC9" w:rsidRDefault="00640BC9" w:rsidP="00640BC9">
            <w:pPr>
              <w:rPr>
                <w:lang w:val="en-CA"/>
              </w:rPr>
            </w:pPr>
            <w:r w:rsidRPr="00640BC9">
              <w:rPr>
                <w:lang w:val="en-CA"/>
              </w:rPr>
              <w:t>Knowledge &amp; integration friction</w:t>
            </w:r>
          </w:p>
        </w:tc>
        <w:tc>
          <w:tcPr>
            <w:tcW w:w="0" w:type="auto"/>
            <w:vAlign w:val="center"/>
            <w:hideMark/>
          </w:tcPr>
          <w:p w14:paraId="08F1F11F" w14:textId="77777777" w:rsidR="00640BC9" w:rsidRPr="00640BC9" w:rsidRDefault="00640BC9" w:rsidP="00640BC9">
            <w:pPr>
              <w:rPr>
                <w:lang w:val="en-CA"/>
              </w:rPr>
            </w:pPr>
            <w:r w:rsidRPr="00640BC9">
              <w:rPr>
                <w:lang w:val="en-CA"/>
              </w:rPr>
              <w:t>Moderate, sticky for pro users</w:t>
            </w:r>
          </w:p>
        </w:tc>
      </w:tr>
      <w:tr w:rsidR="00640BC9" w:rsidRPr="00640BC9" w14:paraId="1C9BED84" w14:textId="77777777">
        <w:trPr>
          <w:tblCellSpacing w:w="15" w:type="dxa"/>
        </w:trPr>
        <w:tc>
          <w:tcPr>
            <w:tcW w:w="0" w:type="auto"/>
            <w:vAlign w:val="center"/>
            <w:hideMark/>
          </w:tcPr>
          <w:p w14:paraId="779D1300" w14:textId="77777777" w:rsidR="00640BC9" w:rsidRPr="00640BC9" w:rsidRDefault="00640BC9" w:rsidP="00640BC9">
            <w:pPr>
              <w:rPr>
                <w:lang w:val="en-CA"/>
              </w:rPr>
            </w:pPr>
            <w:r w:rsidRPr="00640BC9">
              <w:rPr>
                <w:highlight w:val="yellow"/>
                <w:lang w:val="en-CA"/>
              </w:rPr>
              <w:t>Cost Advantage &amp; Scale</w:t>
            </w:r>
          </w:p>
        </w:tc>
        <w:tc>
          <w:tcPr>
            <w:tcW w:w="0" w:type="auto"/>
            <w:vAlign w:val="center"/>
            <w:hideMark/>
          </w:tcPr>
          <w:p w14:paraId="5FEEE94C" w14:textId="77777777" w:rsidR="00640BC9" w:rsidRPr="00640BC9" w:rsidRDefault="00640BC9" w:rsidP="00640BC9">
            <w:pPr>
              <w:rPr>
                <w:lang w:val="en-CA"/>
              </w:rPr>
            </w:pPr>
            <w:r w:rsidRPr="00640BC9">
              <w:rPr>
                <w:lang w:val="en-CA"/>
              </w:rPr>
              <w:t>Core competitive moat via automation &amp; scale</w:t>
            </w:r>
          </w:p>
        </w:tc>
        <w:tc>
          <w:tcPr>
            <w:tcW w:w="0" w:type="auto"/>
            <w:vAlign w:val="center"/>
            <w:hideMark/>
          </w:tcPr>
          <w:p w14:paraId="6B790404" w14:textId="77777777" w:rsidR="00640BC9" w:rsidRPr="00640BC9" w:rsidRDefault="00640BC9" w:rsidP="00640BC9">
            <w:pPr>
              <w:rPr>
                <w:lang w:val="en-CA"/>
              </w:rPr>
            </w:pPr>
            <w:r w:rsidRPr="00640BC9">
              <w:rPr>
                <w:lang w:val="en-CA"/>
              </w:rPr>
              <w:t>Strong, potentially widening</w:t>
            </w:r>
          </w:p>
        </w:tc>
      </w:tr>
    </w:tbl>
    <w:p w14:paraId="20B6C56B" w14:textId="77777777" w:rsidR="00640BC9" w:rsidRDefault="00640BC9"/>
    <w:p w14:paraId="5F8EFD6A" w14:textId="113EF15F" w:rsidR="001824A7" w:rsidRDefault="00000000">
      <w:r>
        <w:br/>
      </w:r>
      <w:r w:rsidRPr="001D0130">
        <w:rPr>
          <w:b/>
          <w:bCs/>
        </w:rPr>
        <w:t>How durable is the moat?</w:t>
      </w:r>
      <w:r w:rsidR="001824A7" w:rsidRPr="001824A7">
        <w:br/>
        <w:t xml:space="preserve">Morningstar recently upgraded IBKR’s economic moat from </w:t>
      </w:r>
      <w:r w:rsidR="001824A7" w:rsidRPr="001824A7">
        <w:rPr>
          <w:b/>
          <w:bCs/>
        </w:rPr>
        <w:t>narrow to wide</w:t>
      </w:r>
      <w:r w:rsidR="001824A7" w:rsidRPr="001824A7">
        <w:t xml:space="preserve">, citing its </w:t>
      </w:r>
      <w:r w:rsidR="001824A7" w:rsidRPr="00BF73AE">
        <w:rPr>
          <w:highlight w:val="yellow"/>
        </w:rPr>
        <w:t>durable cost advantage</w:t>
      </w:r>
      <w:r w:rsidR="001824A7" w:rsidRPr="001824A7">
        <w:t>, proprietary automated execution systems, and global scale that competitors struggle to replicate</w:t>
      </w:r>
      <w:r w:rsidR="001824A7">
        <w:t>.</w:t>
      </w:r>
    </w:p>
    <w:p w14:paraId="19090837" w14:textId="1FB550CF" w:rsidR="007B7E69" w:rsidRDefault="00000000">
      <w:pPr>
        <w:rPr>
          <w:b/>
          <w:bCs/>
        </w:rPr>
      </w:pPr>
      <w:r>
        <w:br/>
        <w:t xml:space="preserve"> </w:t>
      </w:r>
      <w:r w:rsidRPr="009476A6">
        <w:rPr>
          <w:b/>
          <w:bCs/>
        </w:rPr>
        <w:t>Is it widening or shrinking?</w:t>
      </w:r>
    </w:p>
    <w:p w14:paraId="6CF1B668" w14:textId="4082B545" w:rsidR="009476A6" w:rsidRDefault="009476A6">
      <w:r w:rsidRPr="009476A6">
        <w:t>The moat appears widening, supported by a sustained surge in DARTs—rising 63% YoY in April, 43% in May, and ~40% in June 2025—alongside rapid account growth and expanding global market access, all reinforcing IBKR’s entrenched cost leadership</w:t>
      </w:r>
      <w:r>
        <w:t>.</w:t>
      </w:r>
    </w:p>
    <w:p w14:paraId="0585F5C5" w14:textId="77777777" w:rsidR="00AD13C2" w:rsidRPr="009476A6" w:rsidRDefault="00AD13C2"/>
    <w:p w14:paraId="699445B8" w14:textId="77777777" w:rsidR="002140C8" w:rsidRDefault="00000000">
      <w:pPr>
        <w:pStyle w:val="Heading2"/>
      </w:pPr>
      <w:r>
        <w:t>6. Key Competitors / Alternatives</w:t>
      </w:r>
    </w:p>
    <w:p w14:paraId="7843968E" w14:textId="771FEDB0" w:rsidR="002140C8" w:rsidRDefault="00000000">
      <w:r>
        <w:t>• Competitor 1:</w:t>
      </w:r>
      <w:r w:rsidR="00705148">
        <w:t xml:space="preserve"> Schwab and Fidelity</w:t>
      </w:r>
      <w:r w:rsidR="001D26ED">
        <w:t xml:space="preserve"> (</w:t>
      </w:r>
      <w:r w:rsidR="000228FB">
        <w:t>p</w:t>
      </w:r>
      <w:r w:rsidR="001D26ED">
        <w:t>rimarily competitors in the American market only)</w:t>
      </w:r>
      <w:r w:rsidR="000228FB">
        <w:t>.</w:t>
      </w:r>
      <w:r>
        <w:br/>
        <w:t>• Competitor 2:</w:t>
      </w:r>
      <w:r w:rsidR="00D715B1">
        <w:t xml:space="preserve"> A few competitors, but IBKR is the gold standard.</w:t>
      </w:r>
      <w:r>
        <w:br/>
        <w:t>• Market positioning vs peers</w:t>
      </w:r>
    </w:p>
    <w:p w14:paraId="03883ACA" w14:textId="443AF168" w:rsidR="00BC1D43" w:rsidRDefault="00BC1D43">
      <w:r>
        <w:t>IBKR = Global Positioning</w:t>
      </w:r>
    </w:p>
    <w:p w14:paraId="55734C01" w14:textId="3EF1BCF9" w:rsidR="00650D76" w:rsidRDefault="00650D76">
      <w:r>
        <w:t xml:space="preserve">Competitors = Individual country </w:t>
      </w:r>
    </w:p>
    <w:p w14:paraId="147A36AB" w14:textId="77777777" w:rsidR="00BC1D43" w:rsidRDefault="00BC1D43"/>
    <w:p w14:paraId="53F3C94F" w14:textId="4A8A6568" w:rsidR="002140C8" w:rsidRDefault="00000000">
      <w:pPr>
        <w:pStyle w:val="Heading2"/>
      </w:pPr>
      <w:r w:rsidRPr="00B40807">
        <w:rPr>
          <w:highlight w:val="green"/>
        </w:rPr>
        <w:lastRenderedPageBreak/>
        <w:t xml:space="preserve">7. Why It Works (or </w:t>
      </w:r>
      <w:r w:rsidR="00AC5039" w:rsidRPr="00B40807">
        <w:rPr>
          <w:highlight w:val="green"/>
        </w:rPr>
        <w:t>doesn’t</w:t>
      </w:r>
      <w:r w:rsidRPr="00B40807">
        <w:rPr>
          <w:highlight w:val="green"/>
        </w:rPr>
        <w:t>)</w:t>
      </w:r>
      <w:r w:rsidR="00C62E51" w:rsidRPr="00B40807">
        <w:rPr>
          <w:highlight w:val="green"/>
        </w:rPr>
        <w:t xml:space="preserve"> WHATS THE </w:t>
      </w:r>
      <w:r w:rsidR="00FA339C" w:rsidRPr="00B40807">
        <w:rPr>
          <w:highlight w:val="green"/>
        </w:rPr>
        <w:t xml:space="preserve">REASON TO INVEST? IF IT </w:t>
      </w:r>
      <w:r w:rsidR="008721F1" w:rsidRPr="00B40807">
        <w:rPr>
          <w:highlight w:val="green"/>
        </w:rPr>
        <w:t>CHANGES,</w:t>
      </w:r>
      <w:r w:rsidR="00FA339C" w:rsidRPr="00B40807">
        <w:rPr>
          <w:highlight w:val="green"/>
        </w:rPr>
        <w:t xml:space="preserve"> WHY DO WE SELL?</w:t>
      </w:r>
      <w:r w:rsidR="001669FE" w:rsidRPr="00B40807">
        <w:rPr>
          <w:highlight w:val="green"/>
        </w:rPr>
        <w:t xml:space="preserve"> INVESTMENT THESIS</w:t>
      </w:r>
    </w:p>
    <w:p w14:paraId="5ABEAD2D" w14:textId="4D470470" w:rsidR="00125A15" w:rsidRPr="00125A15" w:rsidRDefault="00125A15" w:rsidP="00125A15">
      <w:pPr>
        <w:rPr>
          <w:lang w:val="en-CA"/>
        </w:rPr>
      </w:pPr>
      <w:r w:rsidRPr="00125A15">
        <w:rPr>
          <w:b/>
          <w:bCs/>
          <w:lang w:val="en-CA"/>
        </w:rPr>
        <w:t>Why the business is so great:</w:t>
      </w:r>
      <w:r w:rsidRPr="00125A15">
        <w:rPr>
          <w:lang w:val="en-CA"/>
        </w:rPr>
        <w:br/>
        <w:t xml:space="preserve">IBKR’s </w:t>
      </w:r>
      <w:r w:rsidRPr="00125A15">
        <w:rPr>
          <w:b/>
          <w:bCs/>
          <w:lang w:val="en-CA"/>
        </w:rPr>
        <w:t>global leadership</w:t>
      </w:r>
      <w:r w:rsidRPr="00125A15">
        <w:rPr>
          <w:lang w:val="en-CA"/>
        </w:rPr>
        <w:t xml:space="preserve">—serving clients in 200+ countries and accessing 150+ global exchanges—combined with its </w:t>
      </w:r>
      <w:r w:rsidRPr="00125A15">
        <w:rPr>
          <w:b/>
          <w:bCs/>
          <w:lang w:val="en-CA"/>
        </w:rPr>
        <w:t>highly automated, low-cost platform</w:t>
      </w:r>
      <w:r w:rsidRPr="00125A15">
        <w:rPr>
          <w:lang w:val="en-CA"/>
        </w:rPr>
        <w:t xml:space="preserve"> allows it to offer the cheapest pricing in the industry, drive rapid account and DARTs growth, and sustain best-in-class profit margins—creating a self-reinforcing competitive advantage across borders</w:t>
      </w:r>
      <w:r>
        <w:rPr>
          <w:lang w:val="en-CA"/>
        </w:rPr>
        <w:t>.</w:t>
      </w:r>
    </w:p>
    <w:p w14:paraId="60067621" w14:textId="7F130AC6" w:rsidR="00125A15" w:rsidRPr="00125A15" w:rsidRDefault="00125A15" w:rsidP="00125A15">
      <w:pPr>
        <w:rPr>
          <w:lang w:val="en-CA"/>
        </w:rPr>
      </w:pPr>
      <w:r w:rsidRPr="00125A15">
        <w:rPr>
          <w:b/>
          <w:bCs/>
          <w:lang w:val="en-CA"/>
        </w:rPr>
        <w:t>When to consider selling:</w:t>
      </w:r>
      <w:r w:rsidRPr="00125A15">
        <w:rPr>
          <w:lang w:val="en-CA"/>
        </w:rPr>
        <w:br/>
        <w:t xml:space="preserve">Should IBKR start </w:t>
      </w:r>
      <w:r w:rsidRPr="00125A15">
        <w:rPr>
          <w:b/>
          <w:bCs/>
          <w:lang w:val="en-CA"/>
        </w:rPr>
        <w:t xml:space="preserve">losing its technological edge or cost </w:t>
      </w:r>
      <w:r w:rsidRPr="00125A15">
        <w:rPr>
          <w:b/>
          <w:bCs/>
          <w:lang w:val="en-CA"/>
        </w:rPr>
        <w:t>discipline</w:t>
      </w:r>
      <w:r w:rsidRPr="00125A15">
        <w:rPr>
          <w:lang w:val="en-CA"/>
        </w:rPr>
        <w:t xml:space="preserve"> or</w:t>
      </w:r>
      <w:r w:rsidRPr="00125A15">
        <w:rPr>
          <w:lang w:val="en-CA"/>
        </w:rPr>
        <w:t xml:space="preserve"> face intensifying competition that drives up operating costs or compresses margin spreads, its “sparkle” would fade—and that would likely signal it’s time to exit as the moat narrows significantly.</w:t>
      </w:r>
    </w:p>
    <w:p w14:paraId="3CEAD163" w14:textId="77777777" w:rsidR="001669FE" w:rsidRPr="001669FE" w:rsidRDefault="001669FE" w:rsidP="001669FE"/>
    <w:p w14:paraId="0CED5137" w14:textId="54619298" w:rsidR="00B40807" w:rsidRDefault="00000000">
      <w:r>
        <w:t>• Why is this a high-quality business?</w:t>
      </w:r>
      <w:r>
        <w:br/>
        <w:t>• What drives long-term value creation?</w:t>
      </w:r>
      <w:r>
        <w:br/>
        <w:t>• Is there pricing power, optionality, or hidden value?</w:t>
      </w:r>
      <w:r>
        <w:br/>
        <w:t>• What could go wrong?</w:t>
      </w:r>
    </w:p>
    <w:p w14:paraId="5E1EAF77" w14:textId="77777777" w:rsidR="00B40807" w:rsidRDefault="00B40807"/>
    <w:p w14:paraId="7BEA2B13" w14:textId="77777777" w:rsidR="002140C8" w:rsidRDefault="00000000">
      <w:pPr>
        <w:pStyle w:val="Heading2"/>
      </w:pPr>
      <w:r>
        <w:t>✅ Buffett-Style Checklist</w:t>
      </w:r>
    </w:p>
    <w:tbl>
      <w:tblPr>
        <w:tblW w:w="0" w:type="auto"/>
        <w:tblLook w:val="04A0" w:firstRow="1" w:lastRow="0" w:firstColumn="1" w:lastColumn="0" w:noHBand="0" w:noVBand="1"/>
      </w:tblPr>
      <w:tblGrid>
        <w:gridCol w:w="2880"/>
        <w:gridCol w:w="2880"/>
        <w:gridCol w:w="2880"/>
      </w:tblGrid>
      <w:tr w:rsidR="002140C8" w14:paraId="4129AFEF" w14:textId="77777777">
        <w:tc>
          <w:tcPr>
            <w:tcW w:w="2880" w:type="dxa"/>
          </w:tcPr>
          <w:p w14:paraId="618375DB" w14:textId="77777777" w:rsidR="002140C8" w:rsidRDefault="00000000">
            <w:r>
              <w:t>Criteria</w:t>
            </w:r>
          </w:p>
        </w:tc>
        <w:tc>
          <w:tcPr>
            <w:tcW w:w="2880" w:type="dxa"/>
          </w:tcPr>
          <w:p w14:paraId="0B4D3970" w14:textId="77777777" w:rsidR="002140C8" w:rsidRDefault="00000000">
            <w:r>
              <w:t>Yes/No</w:t>
            </w:r>
          </w:p>
        </w:tc>
        <w:tc>
          <w:tcPr>
            <w:tcW w:w="2880" w:type="dxa"/>
          </w:tcPr>
          <w:p w14:paraId="2CA1403A" w14:textId="77777777" w:rsidR="002140C8" w:rsidRDefault="00000000">
            <w:r>
              <w:t>Notes</w:t>
            </w:r>
          </w:p>
        </w:tc>
      </w:tr>
      <w:tr w:rsidR="002140C8" w14:paraId="7B8AB8F3" w14:textId="77777777">
        <w:tc>
          <w:tcPr>
            <w:tcW w:w="2880" w:type="dxa"/>
          </w:tcPr>
          <w:p w14:paraId="774F4CDF" w14:textId="77777777" w:rsidR="002140C8" w:rsidRDefault="00000000">
            <w:r>
              <w:t>Understandable business (within your circle of competence)</w:t>
            </w:r>
          </w:p>
        </w:tc>
        <w:tc>
          <w:tcPr>
            <w:tcW w:w="2880" w:type="dxa"/>
          </w:tcPr>
          <w:p w14:paraId="3844FA2D" w14:textId="77777777" w:rsidR="002140C8" w:rsidRDefault="00000000">
            <w:r>
              <w:t>✅/❌</w:t>
            </w:r>
          </w:p>
        </w:tc>
        <w:tc>
          <w:tcPr>
            <w:tcW w:w="2880" w:type="dxa"/>
          </w:tcPr>
          <w:p w14:paraId="493E713B" w14:textId="5F50A23B" w:rsidR="002140C8" w:rsidRDefault="003F3C81">
            <w:r>
              <w:t xml:space="preserve">Yes, </w:t>
            </w:r>
            <w:r w:rsidR="00A7650F">
              <w:t>sort of</w:t>
            </w:r>
          </w:p>
        </w:tc>
      </w:tr>
      <w:tr w:rsidR="002140C8" w14:paraId="62927E8A" w14:textId="77777777">
        <w:tc>
          <w:tcPr>
            <w:tcW w:w="2880" w:type="dxa"/>
          </w:tcPr>
          <w:p w14:paraId="13E63E49" w14:textId="77777777" w:rsidR="002140C8" w:rsidRDefault="00000000">
            <w:r>
              <w:t>Consistent earnings / cash flow history</w:t>
            </w:r>
          </w:p>
        </w:tc>
        <w:tc>
          <w:tcPr>
            <w:tcW w:w="2880" w:type="dxa"/>
          </w:tcPr>
          <w:p w14:paraId="02F041AD" w14:textId="77777777" w:rsidR="002140C8" w:rsidRDefault="00000000">
            <w:r>
              <w:t>✅/❌</w:t>
            </w:r>
          </w:p>
        </w:tc>
        <w:tc>
          <w:tcPr>
            <w:tcW w:w="2880" w:type="dxa"/>
          </w:tcPr>
          <w:p w14:paraId="56144471" w14:textId="77777777" w:rsidR="002140C8" w:rsidRDefault="002140C8"/>
        </w:tc>
      </w:tr>
      <w:tr w:rsidR="002140C8" w14:paraId="7F02B134" w14:textId="77777777">
        <w:tc>
          <w:tcPr>
            <w:tcW w:w="2880" w:type="dxa"/>
          </w:tcPr>
          <w:p w14:paraId="290D5CA9" w14:textId="77777777" w:rsidR="002140C8" w:rsidRDefault="00000000">
            <w:r>
              <w:t>High return on capital without lots of debt</w:t>
            </w:r>
          </w:p>
        </w:tc>
        <w:tc>
          <w:tcPr>
            <w:tcW w:w="2880" w:type="dxa"/>
          </w:tcPr>
          <w:p w14:paraId="00A881C9" w14:textId="77777777" w:rsidR="002140C8" w:rsidRDefault="00000000">
            <w:r>
              <w:t>✅/❌</w:t>
            </w:r>
          </w:p>
        </w:tc>
        <w:tc>
          <w:tcPr>
            <w:tcW w:w="2880" w:type="dxa"/>
          </w:tcPr>
          <w:p w14:paraId="5B87ACF2" w14:textId="77777777" w:rsidR="002140C8" w:rsidRDefault="002140C8"/>
        </w:tc>
      </w:tr>
      <w:tr w:rsidR="002140C8" w14:paraId="2133BDC9" w14:textId="77777777">
        <w:tc>
          <w:tcPr>
            <w:tcW w:w="2880" w:type="dxa"/>
          </w:tcPr>
          <w:p w14:paraId="255515C6" w14:textId="77777777" w:rsidR="002140C8" w:rsidRDefault="00000000">
            <w:r>
              <w:t>Durable competitive advantage (moat)</w:t>
            </w:r>
          </w:p>
        </w:tc>
        <w:tc>
          <w:tcPr>
            <w:tcW w:w="2880" w:type="dxa"/>
          </w:tcPr>
          <w:p w14:paraId="4C310666" w14:textId="77777777" w:rsidR="002140C8" w:rsidRDefault="00000000">
            <w:r>
              <w:t>✅/❌</w:t>
            </w:r>
          </w:p>
        </w:tc>
        <w:tc>
          <w:tcPr>
            <w:tcW w:w="2880" w:type="dxa"/>
          </w:tcPr>
          <w:p w14:paraId="0FCF5D1C" w14:textId="77777777" w:rsidR="002140C8" w:rsidRDefault="002140C8"/>
        </w:tc>
      </w:tr>
      <w:tr w:rsidR="002140C8" w14:paraId="79749EC1" w14:textId="77777777">
        <w:tc>
          <w:tcPr>
            <w:tcW w:w="2880" w:type="dxa"/>
          </w:tcPr>
          <w:p w14:paraId="59048DDA" w14:textId="77777777" w:rsidR="002140C8" w:rsidRDefault="00000000">
            <w:r>
              <w:t>Honest, competent management with skin in the game</w:t>
            </w:r>
          </w:p>
        </w:tc>
        <w:tc>
          <w:tcPr>
            <w:tcW w:w="2880" w:type="dxa"/>
          </w:tcPr>
          <w:p w14:paraId="1EC2C920" w14:textId="77777777" w:rsidR="002140C8" w:rsidRDefault="00000000">
            <w:r>
              <w:t>✅/❌</w:t>
            </w:r>
          </w:p>
        </w:tc>
        <w:tc>
          <w:tcPr>
            <w:tcW w:w="2880" w:type="dxa"/>
          </w:tcPr>
          <w:p w14:paraId="31AA9DCD" w14:textId="77777777" w:rsidR="002140C8" w:rsidRDefault="002140C8"/>
        </w:tc>
      </w:tr>
      <w:tr w:rsidR="002140C8" w14:paraId="75EAFDFB" w14:textId="77777777">
        <w:tc>
          <w:tcPr>
            <w:tcW w:w="2880" w:type="dxa"/>
          </w:tcPr>
          <w:p w14:paraId="09FB57CA" w14:textId="77777777" w:rsidR="002140C8" w:rsidRDefault="00000000">
            <w:r>
              <w:t>Attractive valuation relative to cash flows</w:t>
            </w:r>
          </w:p>
        </w:tc>
        <w:tc>
          <w:tcPr>
            <w:tcW w:w="2880" w:type="dxa"/>
          </w:tcPr>
          <w:p w14:paraId="0A6395A9" w14:textId="77777777" w:rsidR="002140C8" w:rsidRDefault="00000000">
            <w:r>
              <w:t>✅/❌</w:t>
            </w:r>
          </w:p>
        </w:tc>
        <w:tc>
          <w:tcPr>
            <w:tcW w:w="2880" w:type="dxa"/>
          </w:tcPr>
          <w:p w14:paraId="29712D7E" w14:textId="77777777" w:rsidR="002140C8" w:rsidRDefault="002140C8"/>
        </w:tc>
      </w:tr>
      <w:tr w:rsidR="002140C8" w14:paraId="42ED3C70" w14:textId="77777777">
        <w:tc>
          <w:tcPr>
            <w:tcW w:w="2880" w:type="dxa"/>
          </w:tcPr>
          <w:p w14:paraId="531E83C3" w14:textId="77777777" w:rsidR="002140C8" w:rsidRDefault="00000000">
            <w:r>
              <w:lastRenderedPageBreak/>
              <w:t>Low capital intensity (if applicable)</w:t>
            </w:r>
          </w:p>
        </w:tc>
        <w:tc>
          <w:tcPr>
            <w:tcW w:w="2880" w:type="dxa"/>
          </w:tcPr>
          <w:p w14:paraId="54B1BA2A" w14:textId="77777777" w:rsidR="002140C8" w:rsidRDefault="00000000">
            <w:r>
              <w:t>✅/❌</w:t>
            </w:r>
          </w:p>
        </w:tc>
        <w:tc>
          <w:tcPr>
            <w:tcW w:w="2880" w:type="dxa"/>
          </w:tcPr>
          <w:p w14:paraId="413FAD6E" w14:textId="77777777" w:rsidR="002140C8" w:rsidRDefault="002140C8"/>
        </w:tc>
      </w:tr>
      <w:tr w:rsidR="002140C8" w14:paraId="60451C37" w14:textId="77777777">
        <w:tc>
          <w:tcPr>
            <w:tcW w:w="2880" w:type="dxa"/>
          </w:tcPr>
          <w:p w14:paraId="2234689C" w14:textId="77777777" w:rsidR="002140C8" w:rsidRDefault="00000000">
            <w:r>
              <w:t>Predictable future (low obsolescence risk)</w:t>
            </w:r>
          </w:p>
        </w:tc>
        <w:tc>
          <w:tcPr>
            <w:tcW w:w="2880" w:type="dxa"/>
          </w:tcPr>
          <w:p w14:paraId="4F9DECEE" w14:textId="77777777" w:rsidR="002140C8" w:rsidRDefault="00000000">
            <w:r>
              <w:t>✅/❌</w:t>
            </w:r>
          </w:p>
        </w:tc>
        <w:tc>
          <w:tcPr>
            <w:tcW w:w="2880" w:type="dxa"/>
          </w:tcPr>
          <w:p w14:paraId="78975281" w14:textId="77777777" w:rsidR="002140C8" w:rsidRDefault="002140C8"/>
        </w:tc>
      </w:tr>
      <w:tr w:rsidR="002140C8" w14:paraId="124EDAC3" w14:textId="77777777">
        <w:tc>
          <w:tcPr>
            <w:tcW w:w="2880" w:type="dxa"/>
          </w:tcPr>
          <w:p w14:paraId="565865D6" w14:textId="77777777" w:rsidR="002140C8" w:rsidRDefault="00000000">
            <w:r>
              <w:t>Reinvestment opportunity or capital return discipline</w:t>
            </w:r>
          </w:p>
        </w:tc>
        <w:tc>
          <w:tcPr>
            <w:tcW w:w="2880" w:type="dxa"/>
          </w:tcPr>
          <w:p w14:paraId="1847A640" w14:textId="77777777" w:rsidR="002140C8" w:rsidRDefault="00000000">
            <w:r>
              <w:t>✅/❌</w:t>
            </w:r>
          </w:p>
        </w:tc>
        <w:tc>
          <w:tcPr>
            <w:tcW w:w="2880" w:type="dxa"/>
          </w:tcPr>
          <w:p w14:paraId="0FC1A11F" w14:textId="77777777" w:rsidR="002140C8" w:rsidRDefault="002140C8"/>
        </w:tc>
      </w:tr>
      <w:tr w:rsidR="002140C8" w14:paraId="54E836CC" w14:textId="77777777">
        <w:tc>
          <w:tcPr>
            <w:tcW w:w="2880" w:type="dxa"/>
          </w:tcPr>
          <w:p w14:paraId="762B1CAA" w14:textId="77777777" w:rsidR="002140C8" w:rsidRDefault="00000000">
            <w:r>
              <w:t>Long-term tailwinds</w:t>
            </w:r>
          </w:p>
        </w:tc>
        <w:tc>
          <w:tcPr>
            <w:tcW w:w="2880" w:type="dxa"/>
          </w:tcPr>
          <w:p w14:paraId="6EF79DF1" w14:textId="77777777" w:rsidR="002140C8" w:rsidRDefault="00000000">
            <w:r>
              <w:t>✅/❌</w:t>
            </w:r>
          </w:p>
        </w:tc>
        <w:tc>
          <w:tcPr>
            <w:tcW w:w="2880" w:type="dxa"/>
          </w:tcPr>
          <w:p w14:paraId="2C730DE1" w14:textId="77777777" w:rsidR="002140C8" w:rsidRDefault="002140C8"/>
        </w:tc>
      </w:tr>
    </w:tbl>
    <w:p w14:paraId="6B8B0394" w14:textId="77777777" w:rsidR="002E637B" w:rsidRDefault="002E637B"/>
    <w:sectPr w:rsidR="002E637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50574A8"/>
    <w:multiLevelType w:val="hybridMultilevel"/>
    <w:tmpl w:val="645A52D4"/>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start w:val="1"/>
      <w:numFmt w:val="decimal"/>
      <w:lvlText w:val="%4."/>
      <w:lvlJc w:val="left"/>
      <w:pPr>
        <w:ind w:left="2880" w:hanging="360"/>
      </w:pPr>
    </w:lvl>
    <w:lvl w:ilvl="4" w:tplc="10090019">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15:restartNumberingAfterBreak="0">
    <w:nsid w:val="302832C2"/>
    <w:multiLevelType w:val="multilevel"/>
    <w:tmpl w:val="0EC03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9576ED"/>
    <w:multiLevelType w:val="multilevel"/>
    <w:tmpl w:val="7250E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BE4F80"/>
    <w:multiLevelType w:val="hybridMultilevel"/>
    <w:tmpl w:val="67ACB016"/>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15:restartNumberingAfterBreak="0">
    <w:nsid w:val="4100532B"/>
    <w:multiLevelType w:val="multilevel"/>
    <w:tmpl w:val="C4EAD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8B30C3"/>
    <w:multiLevelType w:val="multilevel"/>
    <w:tmpl w:val="A5925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CE1803"/>
    <w:multiLevelType w:val="multilevel"/>
    <w:tmpl w:val="DC96F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5712A4"/>
    <w:multiLevelType w:val="multilevel"/>
    <w:tmpl w:val="86D8A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D1466B"/>
    <w:multiLevelType w:val="multilevel"/>
    <w:tmpl w:val="6CE86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5831FE"/>
    <w:multiLevelType w:val="multilevel"/>
    <w:tmpl w:val="28665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D1419A"/>
    <w:multiLevelType w:val="multilevel"/>
    <w:tmpl w:val="E9C85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27545A"/>
    <w:multiLevelType w:val="multilevel"/>
    <w:tmpl w:val="77489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AA44146"/>
    <w:multiLevelType w:val="multilevel"/>
    <w:tmpl w:val="9C26C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808183">
    <w:abstractNumId w:val="8"/>
  </w:num>
  <w:num w:numId="2" w16cid:durableId="1038356479">
    <w:abstractNumId w:val="6"/>
  </w:num>
  <w:num w:numId="3" w16cid:durableId="104471969">
    <w:abstractNumId w:val="5"/>
  </w:num>
  <w:num w:numId="4" w16cid:durableId="1676572042">
    <w:abstractNumId w:val="4"/>
  </w:num>
  <w:num w:numId="5" w16cid:durableId="1101023781">
    <w:abstractNumId w:val="7"/>
  </w:num>
  <w:num w:numId="6" w16cid:durableId="1933467292">
    <w:abstractNumId w:val="3"/>
  </w:num>
  <w:num w:numId="7" w16cid:durableId="3172983">
    <w:abstractNumId w:val="2"/>
  </w:num>
  <w:num w:numId="8" w16cid:durableId="606155528">
    <w:abstractNumId w:val="1"/>
  </w:num>
  <w:num w:numId="9" w16cid:durableId="1731731936">
    <w:abstractNumId w:val="0"/>
  </w:num>
  <w:num w:numId="10" w16cid:durableId="1344937365">
    <w:abstractNumId w:val="9"/>
  </w:num>
  <w:num w:numId="11" w16cid:durableId="1482503566">
    <w:abstractNumId w:val="16"/>
  </w:num>
  <w:num w:numId="12" w16cid:durableId="1376273511">
    <w:abstractNumId w:val="14"/>
  </w:num>
  <w:num w:numId="13" w16cid:durableId="1846242766">
    <w:abstractNumId w:val="20"/>
  </w:num>
  <w:num w:numId="14" w16cid:durableId="277831941">
    <w:abstractNumId w:val="19"/>
  </w:num>
  <w:num w:numId="15" w16cid:durableId="11761549">
    <w:abstractNumId w:val="17"/>
  </w:num>
  <w:num w:numId="16" w16cid:durableId="1607810147">
    <w:abstractNumId w:val="18"/>
  </w:num>
  <w:num w:numId="17" w16cid:durableId="1538544870">
    <w:abstractNumId w:val="12"/>
  </w:num>
  <w:num w:numId="18" w16cid:durableId="447893487">
    <w:abstractNumId w:val="10"/>
  </w:num>
  <w:num w:numId="19" w16cid:durableId="889536983">
    <w:abstractNumId w:val="11"/>
  </w:num>
  <w:num w:numId="20" w16cid:durableId="1364093198">
    <w:abstractNumId w:val="21"/>
  </w:num>
  <w:num w:numId="21" w16cid:durableId="233592215">
    <w:abstractNumId w:val="13"/>
  </w:num>
  <w:num w:numId="22" w16cid:durableId="40969359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50BD"/>
    <w:rsid w:val="000228FB"/>
    <w:rsid w:val="00034616"/>
    <w:rsid w:val="00054897"/>
    <w:rsid w:val="0006063C"/>
    <w:rsid w:val="000875CE"/>
    <w:rsid w:val="000C5D65"/>
    <w:rsid w:val="00125A15"/>
    <w:rsid w:val="0015074B"/>
    <w:rsid w:val="001669FE"/>
    <w:rsid w:val="001824A7"/>
    <w:rsid w:val="00194F97"/>
    <w:rsid w:val="001D0130"/>
    <w:rsid w:val="001D26ED"/>
    <w:rsid w:val="001E6A03"/>
    <w:rsid w:val="002140C8"/>
    <w:rsid w:val="0029639D"/>
    <w:rsid w:val="00296A58"/>
    <w:rsid w:val="002B4B7F"/>
    <w:rsid w:val="002C04B0"/>
    <w:rsid w:val="002E5ACE"/>
    <w:rsid w:val="002E637B"/>
    <w:rsid w:val="00326F90"/>
    <w:rsid w:val="003663E2"/>
    <w:rsid w:val="00392DC6"/>
    <w:rsid w:val="003A148C"/>
    <w:rsid w:val="003B0AC2"/>
    <w:rsid w:val="003D35FA"/>
    <w:rsid w:val="003F3C81"/>
    <w:rsid w:val="003F76AA"/>
    <w:rsid w:val="0042671F"/>
    <w:rsid w:val="004855F7"/>
    <w:rsid w:val="004D37F6"/>
    <w:rsid w:val="004E7F6E"/>
    <w:rsid w:val="005E1ECF"/>
    <w:rsid w:val="00604515"/>
    <w:rsid w:val="00640BC9"/>
    <w:rsid w:val="00650D76"/>
    <w:rsid w:val="006C1F8A"/>
    <w:rsid w:val="00705148"/>
    <w:rsid w:val="00712CAE"/>
    <w:rsid w:val="00715730"/>
    <w:rsid w:val="0073288D"/>
    <w:rsid w:val="007421CE"/>
    <w:rsid w:val="00744DFB"/>
    <w:rsid w:val="00763C89"/>
    <w:rsid w:val="00791BE1"/>
    <w:rsid w:val="007B7E69"/>
    <w:rsid w:val="007D2520"/>
    <w:rsid w:val="00802AF3"/>
    <w:rsid w:val="00870439"/>
    <w:rsid w:val="00871124"/>
    <w:rsid w:val="008721F1"/>
    <w:rsid w:val="00877BD0"/>
    <w:rsid w:val="008E30F3"/>
    <w:rsid w:val="008E446F"/>
    <w:rsid w:val="008F6C62"/>
    <w:rsid w:val="0091091A"/>
    <w:rsid w:val="009476A6"/>
    <w:rsid w:val="009512BE"/>
    <w:rsid w:val="00963FA0"/>
    <w:rsid w:val="00977EAB"/>
    <w:rsid w:val="00A07342"/>
    <w:rsid w:val="00A177CC"/>
    <w:rsid w:val="00A20219"/>
    <w:rsid w:val="00A25439"/>
    <w:rsid w:val="00A7650F"/>
    <w:rsid w:val="00A76A67"/>
    <w:rsid w:val="00A9165F"/>
    <w:rsid w:val="00AA1D8D"/>
    <w:rsid w:val="00AA325F"/>
    <w:rsid w:val="00AC5039"/>
    <w:rsid w:val="00AD13C2"/>
    <w:rsid w:val="00B2495F"/>
    <w:rsid w:val="00B31E9D"/>
    <w:rsid w:val="00B40807"/>
    <w:rsid w:val="00B47730"/>
    <w:rsid w:val="00BB5565"/>
    <w:rsid w:val="00BC1D43"/>
    <w:rsid w:val="00BF73AE"/>
    <w:rsid w:val="00C2245C"/>
    <w:rsid w:val="00C54995"/>
    <w:rsid w:val="00C62E51"/>
    <w:rsid w:val="00C74800"/>
    <w:rsid w:val="00CB0664"/>
    <w:rsid w:val="00CC4313"/>
    <w:rsid w:val="00CF2E35"/>
    <w:rsid w:val="00D31E50"/>
    <w:rsid w:val="00D715B1"/>
    <w:rsid w:val="00DD55A7"/>
    <w:rsid w:val="00E031E4"/>
    <w:rsid w:val="00E64001"/>
    <w:rsid w:val="00E76E78"/>
    <w:rsid w:val="00E901DC"/>
    <w:rsid w:val="00EA6B20"/>
    <w:rsid w:val="00F2099E"/>
    <w:rsid w:val="00F534D3"/>
    <w:rsid w:val="00FA339C"/>
    <w:rsid w:val="00FC693F"/>
    <w:rsid w:val="00FE7F9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971A9D"/>
  <w14:defaultImageDpi w14:val="300"/>
  <w15:docId w15:val="{8E8F6EE0-B9D0-4CA4-A21B-434F0C4B19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4855F7"/>
    <w:pPr>
      <w:spacing w:before="100" w:beforeAutospacing="1" w:after="100" w:afterAutospacing="1" w:line="240" w:lineRule="auto"/>
    </w:pPr>
    <w:rPr>
      <w:rFonts w:ascii="Times New Roman" w:eastAsia="Times New Roman" w:hAnsi="Times New Roman" w:cs="Times New Roman"/>
      <w:sz w:val="24"/>
      <w:szCs w:val="24"/>
      <w:lang w:val="en-CA" w:eastAsia="en-CA"/>
    </w:rPr>
  </w:style>
  <w:style w:type="character" w:styleId="Hyperlink">
    <w:name w:val="Hyperlink"/>
    <w:basedOn w:val="DefaultParagraphFont"/>
    <w:uiPriority w:val="99"/>
    <w:unhideWhenUsed/>
    <w:rsid w:val="00CC4313"/>
    <w:rPr>
      <w:color w:val="0000FF" w:themeColor="hyperlink"/>
      <w:u w:val="single"/>
    </w:rPr>
  </w:style>
  <w:style w:type="character" w:styleId="UnresolvedMention">
    <w:name w:val="Unresolved Mention"/>
    <w:basedOn w:val="DefaultParagraphFont"/>
    <w:uiPriority w:val="99"/>
    <w:semiHidden/>
    <w:unhideWhenUsed/>
    <w:rsid w:val="00CC43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1451</TotalTime>
  <Pages>7</Pages>
  <Words>1238</Words>
  <Characters>7063</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Jacob R</cp:lastModifiedBy>
  <cp:revision>90</cp:revision>
  <dcterms:created xsi:type="dcterms:W3CDTF">2025-07-27T00:08:00Z</dcterms:created>
  <dcterms:modified xsi:type="dcterms:W3CDTF">2025-07-28T00:19:00Z</dcterms:modified>
  <cp:category/>
</cp:coreProperties>
</file>