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Incident Response Plan</w:t>
      </w:r>
    </w:p>
    <w:p>
      <w:pPr>
        <w:spacing w:after="120"/>
      </w:pPr>
      <w:r>
        <w:rPr>
          <w:b/>
          <w:bCs/>
        </w:rPr>
        <w:t xml:space="preserve">Organization:</w:t>
      </w:r>
      <w:r>
        <w:rPr>
          <w:b w:val="false"/>
          <w:bCs w:val="false"/>
        </w:rPr>
        <w:t xml:space="preserve"> Rough Cut Manufacturing — operator of WorkTrackPro</w:t>
      </w:r>
    </w:p>
    <w:p>
      <w:pPr>
        <w:spacing w:after="120"/>
      </w:pPr>
      <w:r>
        <w:rPr>
          <w:b/>
          <w:bCs/>
        </w:rPr>
        <w:t xml:space="preserve">Plan Owner:</w:t>
      </w:r>
      <w:r>
        <w:rPr>
          <w:b w:val="false"/>
          <w:bCs w:val="false"/>
        </w:rPr>
        <w:t xml:space="preserve"> Jacob Rough, Chief Executive Officer — jacobrrough@gmail.com</w:t>
      </w:r>
    </w:p>
    <w:p>
      <w:pPr>
        <w:spacing w:after="120"/>
      </w:pPr>
      <w:r>
        <w:rPr>
          <w:b/>
          <w:bCs/>
        </w:rPr>
        <w:t xml:space="preserve">Version:</w:t>
      </w:r>
      <w:r>
        <w:rPr>
          <w:b w:val="false"/>
          <w:bCs w:val="false"/>
        </w:rPr>
        <w:t xml:space="preserve"> 1.0  </w:t>
      </w:r>
      <w:r>
        <w:rPr>
          <w:b/>
          <w:bCs/>
        </w:rPr>
        <w:t xml:space="preserve">Effective Date:</w:t>
      </w:r>
      <w:r>
        <w:rPr>
          <w:b w:val="false"/>
          <w:bCs w:val="false"/>
        </w:rPr>
        <w:t xml:space="preserve"> June 17, 2026  </w:t>
      </w:r>
      <w:r>
        <w:rPr>
          <w:b/>
          <w:bCs/>
        </w:rPr>
        <w:t xml:space="preserve">Next Review:</w:t>
      </w:r>
      <w:r>
        <w:rPr>
          <w:b w:val="false"/>
          <w:bCs w:val="false"/>
        </w:rPr>
        <w:t xml:space="preserve"> June 17, 2027</w:t>
      </w:r>
    </w:p>
    <w:p>
      <w:pPr>
        <w:pStyle w:val="Heading2"/>
      </w:pPr>
      <w:r>
        <w:rPr>
          <w:b w:val="false"/>
          <w:bCs w:val="false"/>
        </w:rPr>
        <w:t xml:space="preserve">1. Purpose</w:t>
      </w:r>
    </w:p>
    <w:p>
      <w:pPr>
        <w:spacing w:after="120"/>
      </w:pPr>
      <w:r>
        <w:rPr>
          <w:b w:val="false"/>
          <w:bCs w:val="false"/>
        </w:rPr>
        <w:t xml:space="preserve">This plan defines how Rough Cut Manufacturing prepares for, detects, responds to, and recovers from</w:t>
      </w:r>
    </w:p>
    <w:p>
      <w:pPr>
        <w:spacing w:after="120"/>
      </w:pPr>
      <w:r>
        <w:rPr>
          <w:b w:val="false"/>
          <w:bCs w:val="false"/>
        </w:rPr>
        <w:t xml:space="preserve">information-security incidents affecting the WorkTrackPro application or the data it processes,</w:t>
      </w:r>
    </w:p>
    <w:p>
      <w:pPr>
        <w:spacing w:after="120"/>
      </w:pPr>
      <w:r>
        <w:rPr>
          <w:b w:val="false"/>
          <w:bCs w:val="false"/>
        </w:rPr>
        <w:t xml:space="preserve">including customer and financial-account data.</w:t>
      </w:r>
    </w:p>
    <w:p>
      <w:pPr>
        <w:pStyle w:val="Heading2"/>
      </w:pPr>
      <w:r>
        <w:rPr>
          <w:b w:val="false"/>
          <w:bCs w:val="false"/>
        </w:rPr>
        <w:t xml:space="preserve">2. Scope</w:t>
      </w:r>
    </w:p>
    <w:p>
      <w:pPr>
        <w:spacing w:after="120"/>
      </w:pPr>
      <w:r>
        <w:rPr>
          <w:b w:val="false"/>
          <w:bCs w:val="false"/>
        </w:rPr>
        <w:t xml:space="preserve">Covers any actual or suspected event that threatens the confidentiality, integrity, or availability</w:t>
      </w:r>
    </w:p>
    <w:p>
      <w:pPr>
        <w:spacing w:after="120"/>
      </w:pPr>
      <w:r>
        <w:rPr>
          <w:b w:val="false"/>
          <w:bCs w:val="false"/>
        </w:rPr>
        <w:t xml:space="preserve">of Company or customer data or systems — e.g., unauthorized access, credential or token compromise,</w:t>
      </w:r>
    </w:p>
    <w:p>
      <w:pPr>
        <w:spacing w:after="120"/>
      </w:pPr>
      <w:r>
        <w:rPr>
          <w:b w:val="false"/>
          <w:bCs w:val="false"/>
        </w:rPr>
        <w:t xml:space="preserve">data leakage, malware, or provider breaches affecting our data.</w:t>
      </w:r>
    </w:p>
    <w:p>
      <w:pPr>
        <w:pStyle w:val="Heading2"/>
      </w:pPr>
      <w:r>
        <w:rPr>
          <w:b w:val="false"/>
          <w:bCs w:val="false"/>
        </w:rPr>
        <w:t xml:space="preserve">3. Roles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Incident Lead:</w:t>
      </w:r>
      <w:r>
        <w:rPr>
          <w:b w:val="false"/>
          <w:bCs w:val="false"/>
        </w:rPr>
        <w:t xml:space="preserve"> Jacob Rough, CEO — coordinates response, decisions, and external notifications.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 staff/contractors:</w:t>
      </w:r>
      <w:r>
        <w:rPr>
          <w:b w:val="false"/>
          <w:bCs w:val="false"/>
        </w:rPr>
        <w:t xml:space="preserve"> must report suspected incidents to the Incident Lead immediately via</w:t>
      </w:r>
    </w:p>
    <w:p>
      <w:pPr>
        <w:spacing w:after="120"/>
      </w:pPr>
      <w:r>
        <w:rPr>
          <w:b w:val="false"/>
          <w:bCs w:val="false"/>
        </w:rPr>
        <w:t xml:space="preserve">jacobrrough@gmail.com (or direct contact).</w:t>
      </w:r>
    </w:p>
    <w:p>
      <w:pPr>
        <w:pStyle w:val="Heading2"/>
      </w:pPr>
      <w:r>
        <w:rPr>
          <w:b w:val="false"/>
          <w:bCs w:val="false"/>
        </w:rPr>
        <w:t xml:space="preserve">4. Severity levels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High:</w:t>
      </w:r>
      <w:r>
        <w:rPr>
          <w:b w:val="false"/>
          <w:bCs w:val="false"/>
        </w:rPr>
        <w:t xml:space="preserve"> confirmed or likely exposure of sensitive data (PII, financial-account data, or access</w:t>
      </w:r>
    </w:p>
    <w:p>
      <w:pPr>
        <w:spacing w:after="120"/>
      </w:pPr>
      <w:r>
        <w:rPr>
          <w:b w:val="false"/>
          <w:bCs w:val="false"/>
        </w:rPr>
        <w:t xml:space="preserve">tokens), or loss of a critical system.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Medium:</w:t>
      </w:r>
      <w:r>
        <w:rPr>
          <w:b w:val="false"/>
          <w:bCs w:val="false"/>
        </w:rPr>
        <w:t xml:space="preserve"> limited or contained issue with no confirmed sensitive-data exposure.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Low:</w:t>
      </w:r>
      <w:r>
        <w:rPr>
          <w:b w:val="false"/>
          <w:bCs w:val="false"/>
        </w:rPr>
        <w:t xml:space="preserve"> minor policy or configuration issue with negligible impact.</w:t>
      </w:r>
    </w:p>
    <w:p>
      <w:pPr>
        <w:pStyle w:val="Heading2"/>
      </w:pPr>
      <w:r>
        <w:rPr>
          <w:b w:val="false"/>
          <w:bCs w:val="false"/>
        </w:rPr>
        <w:t xml:space="preserve">5. Response phases</w:t>
      </w:r>
    </w:p>
    <w:p>
      <w:pPr>
        <w:spacing w:after="60"/>
        <w:ind w:left="720" w:hanging="360"/>
      </w:pPr>
      <w:r>
        <w:rPr>
          <w:b w:val="false"/>
          <w:bCs w:val="false"/>
        </w:rPr>
        <w:t xml:space="preserve">1. </w:t>
      </w:r>
      <w:r>
        <w:rPr>
          <w:b/>
          <w:bCs/>
        </w:rPr>
        <w:t xml:space="preserve">Detect &amp; report.</w:t>
      </w:r>
      <w:r>
        <w:rPr>
          <w:b w:val="false"/>
          <w:bCs w:val="false"/>
        </w:rPr>
        <w:t xml:space="preserve"> Identify the event from alerts (dependency/security alerts, provider</w:t>
      </w:r>
    </w:p>
    <w:p>
      <w:pPr>
        <w:spacing w:after="120"/>
      </w:pPr>
      <w:r>
        <w:rPr>
          <w:b w:val="false"/>
          <w:bCs w:val="false"/>
        </w:rPr>
        <w:t xml:space="preserve">notices, access logs) or staff reports; record time, source, and initial scope.</w:t>
      </w:r>
    </w:p>
    <w:p>
      <w:pPr>
        <w:spacing w:after="60"/>
        <w:ind w:left="720" w:hanging="360"/>
      </w:pPr>
      <w:r>
        <w:rPr>
          <w:b w:val="false"/>
          <w:bCs w:val="false"/>
        </w:rPr>
        <w:t xml:space="preserve">2. </w:t>
      </w:r>
      <w:r>
        <w:rPr>
          <w:b/>
          <w:bCs/>
        </w:rPr>
        <w:t xml:space="preserve">Triage.</w:t>
      </w:r>
      <w:r>
        <w:rPr>
          <w:b w:val="false"/>
          <w:bCs w:val="false"/>
        </w:rPr>
        <w:t xml:space="preserve"> The Incident Lead assigns a severity and opens an incident record.</w:t>
      </w:r>
    </w:p>
    <w:p>
      <w:pPr>
        <w:spacing w:after="60"/>
        <w:ind w:left="720" w:hanging="360"/>
      </w:pPr>
      <w:r>
        <w:rPr>
          <w:b w:val="false"/>
          <w:bCs w:val="false"/>
        </w:rPr>
        <w:t xml:space="preserve">3. </w:t>
      </w:r>
      <w:r>
        <w:rPr>
          <w:b/>
          <w:bCs/>
        </w:rPr>
        <w:t xml:space="preserve">Contain.</w:t>
      </w:r>
      <w:r>
        <w:rPr>
          <w:b w:val="false"/>
          <w:bCs w:val="false"/>
        </w:rPr>
        <w:t xml:space="preserve"> Stop the bleeding: revoke or rotate affected credentials and provider access tokens</w:t>
      </w:r>
    </w:p>
    <w:p>
      <w:pPr>
        <w:spacing w:after="120"/>
      </w:pPr>
      <w:r>
        <w:rPr>
          <w:b w:val="false"/>
          <w:bCs w:val="false"/>
        </w:rPr>
        <w:t xml:space="preserve">(Plaid/QuickBooks), disable compromised accounts, restrict access, and isolate affected</w:t>
      </w:r>
    </w:p>
    <w:p>
      <w:pPr>
        <w:spacing w:after="120"/>
      </w:pPr>
      <w:r>
        <w:rPr>
          <w:b w:val="false"/>
          <w:bCs w:val="false"/>
        </w:rPr>
        <w:t xml:space="preserve">components.</w:t>
      </w:r>
    </w:p>
    <w:p>
      <w:pPr>
        <w:spacing w:after="60"/>
        <w:ind w:left="720" w:hanging="360"/>
      </w:pPr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Eradicate.</w:t>
      </w:r>
      <w:r>
        <w:rPr>
          <w:b w:val="false"/>
          <w:bCs w:val="false"/>
        </w:rPr>
        <w:t xml:space="preserve"> Remove the root cause (e.g., patch the vulnerability, remove malicious access,</w:t>
      </w:r>
    </w:p>
    <w:p>
      <w:pPr>
        <w:spacing w:after="120"/>
      </w:pPr>
      <w:r>
        <w:rPr>
          <w:b w:val="false"/>
          <w:bCs w:val="false"/>
        </w:rPr>
        <w:t xml:space="preserve">correct the misconfiguration).</w:t>
      </w:r>
    </w:p>
    <w:p>
      <w:pPr>
        <w:spacing w:after="60"/>
        <w:ind w:left="720" w:hanging="360"/>
      </w:pPr>
      <w:r>
        <w:rPr>
          <w:b w:val="false"/>
          <w:bCs w:val="false"/>
        </w:rPr>
        <w:t xml:space="preserve">5. </w:t>
      </w:r>
      <w:r>
        <w:rPr>
          <w:b/>
          <w:bCs/>
        </w:rPr>
        <w:t xml:space="preserve">Recover.</w:t>
      </w:r>
      <w:r>
        <w:rPr>
          <w:b w:val="false"/>
          <w:bCs w:val="false"/>
        </w:rPr>
        <w:t xml:space="preserve"> Restore affected systems/data from trusted backups (Supabase point-in-time</w:t>
      </w:r>
    </w:p>
    <w:p>
      <w:pPr>
        <w:spacing w:after="120"/>
      </w:pPr>
      <w:r>
        <w:rPr>
          <w:b w:val="false"/>
          <w:bCs w:val="false"/>
        </w:rPr>
        <w:t xml:space="preserve">recovery), verify integrity, and confirm normal operation.</w:t>
      </w:r>
    </w:p>
    <w:p>
      <w:pPr>
        <w:spacing w:after="60"/>
        <w:ind w:left="720" w:hanging="360"/>
      </w:pPr>
      <w:r>
        <w:rPr>
          <w:b w:val="false"/>
          <w:bCs w:val="false"/>
        </w:rPr>
        <w:t xml:space="preserve">6. </w:t>
      </w:r>
      <w:r>
        <w:rPr>
          <w:b/>
          <w:bCs/>
        </w:rPr>
        <w:t xml:space="preserve">Notify.</w:t>
      </w:r>
      <w:r>
        <w:rPr>
          <w:b w:val="false"/>
          <w:bCs w:val="false"/>
        </w:rPr>
        <w:t xml:space="preserve"> Notify affected individuals, providers, and regulators as required (see §6).</w:t>
      </w:r>
    </w:p>
    <w:p>
      <w:pPr>
        <w:spacing w:after="60"/>
        <w:ind w:left="720" w:hanging="360"/>
      </w:pPr>
      <w:r>
        <w:rPr>
          <w:b w:val="false"/>
          <w:bCs w:val="false"/>
        </w:rPr>
        <w:t xml:space="preserve">7. </w:t>
      </w:r>
      <w:r>
        <w:rPr>
          <w:b/>
          <w:bCs/>
        </w:rPr>
        <w:t xml:space="preserve">Review.</w:t>
      </w:r>
      <w:r>
        <w:rPr>
          <w:b w:val="false"/>
          <w:bCs w:val="false"/>
        </w:rPr>
        <w:t xml:space="preserve"> Within 2 weeks, conduct a post-incident review documenting cause, impact, response,</w:t>
      </w:r>
    </w:p>
    <w:p>
      <w:pPr>
        <w:spacing w:after="120"/>
      </w:pPr>
      <w:r>
        <w:rPr>
          <w:b w:val="false"/>
          <w:bCs w:val="false"/>
        </w:rPr>
        <w:t xml:space="preserve">and corrective actions; feed findings into the risk review.</w:t>
      </w:r>
    </w:p>
    <w:p>
      <w:pPr>
        <w:pStyle w:val="Heading2"/>
      </w:pPr>
      <w:r>
        <w:rPr>
          <w:b w:val="false"/>
          <w:bCs w:val="false"/>
        </w:rPr>
        <w:t xml:space="preserve">6. Notification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Affected individuals and customers:</w:t>
      </w:r>
      <w:r>
        <w:rPr>
          <w:b w:val="false"/>
          <w:bCs w:val="false"/>
        </w:rPr>
        <w:t xml:space="preserve"> notified without undue delay when their personal data is</w:t>
      </w:r>
    </w:p>
    <w:p>
      <w:pPr>
        <w:spacing w:after="120"/>
      </w:pPr>
      <w:r>
        <w:rPr>
          <w:b w:val="false"/>
          <w:bCs w:val="false"/>
        </w:rPr>
        <w:t xml:space="preserve">reasonably believed to have been compromised, as required by applicable breach-notification law.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Plaid:</w:t>
      </w:r>
      <w:r>
        <w:rPr>
          <w:b w:val="false"/>
          <w:bCs w:val="false"/>
        </w:rPr>
        <w:t xml:space="preserve"> notified of any security incident affecting Plaid-provided data in accordance with our</w:t>
      </w:r>
    </w:p>
    <w:p>
      <w:pPr>
        <w:spacing w:after="120"/>
      </w:pPr>
      <w:r>
        <w:rPr>
          <w:b w:val="false"/>
          <w:bCs w:val="false"/>
        </w:rPr>
        <w:t xml:space="preserve">agreement with Plaid, within the timeframe it requires.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Other providers/regulators:</w:t>
      </w:r>
      <w:r>
        <w:rPr>
          <w:b w:val="false"/>
          <w:bCs w:val="false"/>
        </w:rPr>
        <w:t xml:space="preserve"> notified as required by contract and law.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All notifications are coordinated and approved by the Incident Lead.</w:t>
      </w:r>
    </w:p>
    <w:p>
      <w:pPr>
        <w:pStyle w:val="Heading2"/>
      </w:pPr>
      <w:r>
        <w:rPr>
          <w:b w:val="false"/>
          <w:bCs w:val="false"/>
        </w:rPr>
        <w:t xml:space="preserve">7. Evidence &amp; documentation</w:t>
      </w:r>
    </w:p>
    <w:p>
      <w:pPr>
        <w:spacing w:after="120"/>
      </w:pPr>
      <w:r>
        <w:rPr>
          <w:b w:val="false"/>
          <w:bCs w:val="false"/>
        </w:rPr>
        <w:t xml:space="preserve">Each incident is documented with timeline, affected data/systems, actions taken, parties notified,</w:t>
      </w:r>
    </w:p>
    <w:p>
      <w:pPr>
        <w:spacing w:after="120"/>
      </w:pPr>
      <w:r>
        <w:rPr>
          <w:b w:val="false"/>
          <w:bCs w:val="false"/>
        </w:rPr>
        <w:t xml:space="preserve">and lessons learned. Records are retained for at least 2 years.</w:t>
      </w:r>
    </w:p>
    <w:p>
      <w:pPr>
        <w:pStyle w:val="Heading2"/>
      </w:pPr>
      <w:r>
        <w:rPr>
          <w:b w:val="false"/>
          <w:bCs w:val="false"/>
        </w:rPr>
        <w:t xml:space="preserve">8. Preparation &amp; testing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Keep the subprocessor/contact list current and credentials recoverable.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Ensure backups and the redeploy path are functional.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Review this plan at least annually and walk through a tabletop scenario when feasible.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2026-06-17T20:20:22.264Z</dcterms:created>
  <dcterms:modified xsi:type="dcterms:W3CDTF">2026-06-17T20:20:22.264Z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