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Information Security Policy</w:t>
      </w:r>
    </w:p>
    <w:p>
      <w:pPr>
        <w:spacing w:after="120"/>
      </w:pPr>
      <w:r>
        <w:rPr>
          <w:b/>
          <w:bCs/>
        </w:rPr>
        <w:t xml:space="preserve">Organization:</w:t>
      </w:r>
      <w:r>
        <w:rPr>
          <w:b w:val="false"/>
          <w:bCs w:val="false"/>
        </w:rPr>
        <w:t xml:space="preserve"> Rough Cut Manufacturing ("the Company"), operator of the WorkTrackPro application</w:t>
      </w:r>
    </w:p>
    <w:p>
      <w:pPr>
        <w:spacing w:after="120"/>
      </w:pPr>
      <w:r>
        <w:rPr>
          <w:b/>
          <w:bCs/>
        </w:rPr>
        <w:t xml:space="preserve">Policy Owner:</w:t>
      </w:r>
      <w:r>
        <w:rPr>
          <w:b w:val="false"/>
          <w:bCs w:val="false"/>
        </w:rPr>
        <w:t xml:space="preserve"> Jacob Rough, Chief Executive Officer — jacobrrough@gmail.com</w:t>
      </w:r>
    </w:p>
    <w:p>
      <w:pPr>
        <w:spacing w:after="120"/>
      </w:pPr>
      <w:r>
        <w:rPr>
          <w:b/>
          <w:bCs/>
        </w:rPr>
        <w:t xml:space="preserve">Version:</w:t>
      </w:r>
      <w:r>
        <w:rPr>
          <w:b w:val="false"/>
          <w:bCs w:val="false"/>
        </w:rPr>
        <w:t xml:space="preserve"> 1.0  </w:t>
      </w:r>
      <w:r>
        <w:rPr>
          <w:b/>
          <w:bCs/>
        </w:rPr>
        <w:t xml:space="preserve">Effective Date:</w:t>
      </w:r>
      <w:r>
        <w:rPr>
          <w:b w:val="false"/>
          <w:bCs w:val="false"/>
        </w:rPr>
        <w:t xml:space="preserve"> June 17, 2026  </w:t>
      </w:r>
      <w:r>
        <w:rPr>
          <w:b/>
          <w:bCs/>
        </w:rPr>
        <w:t xml:space="preserve">Next Review:</w:t>
      </w:r>
      <w:r>
        <w:rPr>
          <w:b w:val="false"/>
          <w:bCs w:val="false"/>
        </w:rPr>
        <w:t xml:space="preserve"> June 17, 2027</w:t>
      </w:r>
    </w:p>
    <w:p>
      <w:pPr>
        <w:spacing w:after="120"/>
      </w:pPr>
      <w:r>
        <w:rPr>
          <w:b/>
          <w:bCs/>
        </w:rPr>
        <w:t xml:space="preserve">Approved by:</w:t>
      </w:r>
      <w:r>
        <w:rPr>
          <w:b w:val="false"/>
          <w:bCs w:val="false"/>
        </w:rPr>
        <w:t xml:space="preserve"> Jacob Rough, CEO — June 17, 2026</w:t>
      </w:r>
    </w:p>
    <w:p>
      <w:pPr>
        <w:pStyle w:val="Heading2"/>
      </w:pPr>
      <w:r>
        <w:rPr>
          <w:b w:val="false"/>
          <w:bCs w:val="false"/>
        </w:rPr>
        <w:t xml:space="preserve">1. Purpose</w:t>
      </w:r>
    </w:p>
    <w:p>
      <w:pPr>
        <w:spacing w:after="120"/>
      </w:pPr>
      <w:r>
        <w:rPr>
          <w:b w:val="false"/>
          <w:bCs w:val="false"/>
        </w:rPr>
        <w:t xml:space="preserve">This policy defines how Rough Cut Manufacturing identifies, mitigates, and monitors information</w:t>
      </w:r>
    </w:p>
    <w:p>
      <w:pPr>
        <w:spacing w:after="120"/>
      </w:pPr>
      <w:r>
        <w:rPr>
          <w:b w:val="false"/>
          <w:bCs w:val="false"/>
        </w:rPr>
        <w:t xml:space="preserve">security risks to protect the confidentiality, integrity, and availability of the data it holds —</w:t>
      </w:r>
    </w:p>
    <w:p>
      <w:pPr>
        <w:spacing w:after="120"/>
      </w:pPr>
      <w:r>
        <w:rPr>
          <w:b w:val="false"/>
          <w:bCs w:val="false"/>
        </w:rPr>
        <w:t xml:space="preserve">including customer, job/manufacturing, accounting, and financial-account data obtained via</w:t>
      </w:r>
    </w:p>
    <w:p>
      <w:pPr>
        <w:spacing w:after="120"/>
      </w:pPr>
      <w:r>
        <w:rPr>
          <w:b w:val="false"/>
          <w:bCs w:val="false"/>
        </w:rPr>
        <w:t xml:space="preserve">integrated providers (e.g., Plaid, QuickBooks Online). It is reviewed and enforced on an ongoing</w:t>
      </w:r>
    </w:p>
    <w:p>
      <w:pPr>
        <w:spacing w:after="120"/>
      </w:pPr>
      <w:r>
        <w:rPr>
          <w:b w:val="false"/>
          <w:bCs w:val="false"/>
        </w:rPr>
        <w:t xml:space="preserve">basis (see §14).</w:t>
      </w:r>
    </w:p>
    <w:p>
      <w:pPr>
        <w:pStyle w:val="Heading2"/>
      </w:pPr>
      <w:r>
        <w:rPr>
          <w:b w:val="false"/>
          <w:bCs w:val="false"/>
        </w:rPr>
        <w:t xml:space="preserve">2. Scope</w:t>
      </w:r>
    </w:p>
    <w:p>
      <w:pPr>
        <w:spacing w:after="120"/>
      </w:pPr>
      <w:r>
        <w:rPr>
          <w:b w:val="false"/>
          <w:bCs w:val="false"/>
        </w:rPr>
        <w:t xml:space="preserve">Applies to all employees, contractors, and systems that store, process, or transmit Company or</w:t>
      </w:r>
    </w:p>
    <w:p>
      <w:pPr>
        <w:spacing w:after="120"/>
      </w:pPr>
      <w:r>
        <w:rPr>
          <w:b w:val="false"/>
          <w:bCs w:val="false"/>
        </w:rPr>
        <w:t xml:space="preserve">customer data, including the WorkTrackPro web application, its Supabase backend, Netlify hosting</w:t>
      </w:r>
    </w:p>
    <w:p>
      <w:pPr>
        <w:spacing w:after="120"/>
      </w:pPr>
      <w:r>
        <w:rPr>
          <w:b w:val="false"/>
          <w:bCs w:val="false"/>
        </w:rPr>
        <w:t xml:space="preserve">and serverless functions, source-code repositories, and all devices used to access these systems.</w:t>
      </w:r>
    </w:p>
    <w:p>
      <w:pPr>
        <w:pStyle w:val="Heading2"/>
      </w:pPr>
      <w:r>
        <w:rPr>
          <w:b w:val="false"/>
          <w:bCs w:val="false"/>
        </w:rPr>
        <w:t xml:space="preserve">3. Roles &amp; Responsibilities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Owner / Security Officer</w:t>
      </w:r>
      <w:r>
        <w:rPr>
          <w:b w:val="false"/>
          <w:bCs w:val="false"/>
        </w:rPr>
        <w:t xml:space="preserve"> (Jacob Rough, CEO) is accountable for information security:</w:t>
      </w:r>
    </w:p>
    <w:p>
      <w:pPr>
        <w:spacing w:after="120"/>
      </w:pPr>
      <w:r>
        <w:rPr>
          <w:b w:val="false"/>
          <w:bCs w:val="false"/>
        </w:rPr>
        <w:t xml:space="preserve">maintaining this policy, owning the risk review, managing access, and coordinating incident</w:t>
      </w:r>
    </w:p>
    <w:p>
      <w:pPr>
        <w:spacing w:after="120"/>
      </w:pPr>
      <w:r>
        <w:rPr>
          <w:b w:val="false"/>
          <w:bCs w:val="false"/>
        </w:rPr>
        <w:t xml:space="preserve">response.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staff and contractors</w:t>
      </w:r>
      <w:r>
        <w:rPr>
          <w:b w:val="false"/>
          <w:bCs w:val="false"/>
        </w:rPr>
        <w:t xml:space="preserve"> must follow this policy, use unique credentials with multi-factor</w:t>
      </w:r>
    </w:p>
    <w:p>
      <w:pPr>
        <w:spacing w:after="120"/>
      </w:pPr>
      <w:r>
        <w:rPr>
          <w:b w:val="false"/>
          <w:bCs w:val="false"/>
        </w:rPr>
        <w:t xml:space="preserve">authentication, protect their devices, and report suspected security incidents to the Policy</w:t>
      </w:r>
    </w:p>
    <w:p>
      <w:pPr>
        <w:spacing w:after="120"/>
      </w:pPr>
      <w:r>
        <w:rPr>
          <w:b w:val="false"/>
          <w:bCs w:val="false"/>
        </w:rPr>
        <w:t xml:space="preserve">Owner immediately.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Security responsibilities are re-evaluated whenever roles change.</w:t>
      </w:r>
    </w:p>
    <w:p>
      <w:pPr>
        <w:pStyle w:val="Heading2"/>
      </w:pPr>
      <w:r>
        <w:rPr>
          <w:b w:val="false"/>
          <w:bCs w:val="false"/>
        </w:rPr>
        <w:t xml:space="preserve">4. Risk Management (identify · mitigate · monitor)</w:t>
      </w:r>
    </w:p>
    <w:p>
      <w:pPr>
        <w:spacing w:after="120"/>
      </w:pPr>
      <w:r>
        <w:rPr>
          <w:b w:val="false"/>
          <w:bCs w:val="false"/>
        </w:rPr>
        <w:t xml:space="preserve">The Company operates a continuous, documented risk process: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Identify:</w:t>
      </w:r>
      <w:r>
        <w:rPr>
          <w:b w:val="false"/>
          <w:bCs w:val="false"/>
        </w:rPr>
        <w:t xml:space="preserve"> Maintain an inventory of systems, data types, and third-party providers that</w:t>
      </w:r>
    </w:p>
    <w:p>
      <w:pPr>
        <w:spacing w:after="120"/>
      </w:pPr>
      <w:r>
        <w:rPr>
          <w:b w:val="false"/>
          <w:bCs w:val="false"/>
        </w:rPr>
        <w:t xml:space="preserve">handle sensitive data (Supabase, Netlify, Plaid, QuickBooks Online, GitHub). Classify data as</w:t>
      </w:r>
    </w:p>
    <w:p>
      <w:pPr>
        <w:spacing w:after="120"/>
      </w:pPr>
      <w:r>
        <w:rPr>
          <w:b w:val="false"/>
          <w:bCs w:val="false"/>
        </w:rPr>
        <w:t xml:space="preserve">Public, Internal, or </w:t>
      </w:r>
      <w:r>
        <w:rPr>
          <w:b/>
          <w:bCs/>
        </w:rPr>
        <w:t xml:space="preserve">Sensitive</w:t>
      </w:r>
      <w:r>
        <w:rPr>
          <w:b w:val="false"/>
          <w:bCs w:val="false"/>
        </w:rPr>
        <w:t xml:space="preserve"> (customer PII, accounting records, and financial-account</w:t>
      </w:r>
    </w:p>
    <w:p>
      <w:pPr>
        <w:spacing w:after="120"/>
      </w:pPr>
      <w:r>
        <w:rPr>
          <w:b w:val="false"/>
          <w:bCs w:val="false"/>
        </w:rPr>
        <w:t xml:space="preserve">data/credentials).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Mitigate:</w:t>
      </w:r>
      <w:r>
        <w:rPr>
          <w:b w:val="false"/>
          <w:bCs w:val="false"/>
        </w:rPr>
        <w:t xml:space="preserve"> Apply the controls in §§5–13 commensurate with data sensitivity; financial-account</w:t>
      </w:r>
    </w:p>
    <w:p>
      <w:pPr>
        <w:spacing w:after="120"/>
      </w:pPr>
      <w:r>
        <w:rPr>
          <w:b w:val="false"/>
          <w:bCs w:val="false"/>
        </w:rPr>
        <w:t xml:space="preserve">data and access tokens receive the strongest controls (encryption, server-side-only handling,</w:t>
      </w:r>
    </w:p>
    <w:p>
      <w:pPr>
        <w:spacing w:after="120"/>
      </w:pPr>
      <w:r>
        <w:rPr>
          <w:b w:val="false"/>
          <w:bCs w:val="false"/>
        </w:rPr>
        <w:t xml:space="preserve">least privilege).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Monitor:</w:t>
      </w:r>
      <w:r>
        <w:rPr>
          <w:b w:val="false"/>
          <w:bCs w:val="false"/>
        </w:rPr>
        <w:t xml:space="preserve"> Review automated security signals (dependency alerts, provider status, access logs)</w:t>
      </w:r>
    </w:p>
    <w:p>
      <w:pPr>
        <w:spacing w:after="120"/>
      </w:pPr>
      <w:r>
        <w:rPr>
          <w:b w:val="false"/>
          <w:bCs w:val="false"/>
        </w:rPr>
        <w:t xml:space="preserve">on an ongoing basis, and conduct a formal risk review at least annually and upon any material</w:t>
      </w:r>
    </w:p>
    <w:p>
      <w:pPr>
        <w:spacing w:after="120"/>
      </w:pPr>
      <w:r>
        <w:rPr>
          <w:b w:val="false"/>
          <w:bCs w:val="false"/>
        </w:rPr>
        <w:t xml:space="preserve">change (new integration, new data type, or security incident). Findings and remediation actions</w:t>
      </w:r>
    </w:p>
    <w:p>
      <w:pPr>
        <w:spacing w:after="120"/>
      </w:pPr>
      <w:r>
        <w:rPr>
          <w:b w:val="false"/>
          <w:bCs w:val="false"/>
        </w:rPr>
        <w:t xml:space="preserve">are recorded by the Policy Owner.</w:t>
      </w:r>
    </w:p>
    <w:p>
      <w:pPr>
        <w:pStyle w:val="Heading2"/>
      </w:pPr>
      <w:r>
        <w:rPr>
          <w:b w:val="false"/>
          <w:bCs w:val="false"/>
        </w:rPr>
        <w:t xml:space="preserve">5. Access Control &amp;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accounts</w:t>
      </w:r>
      <w:r>
        <w:rPr>
          <w:b w:val="false"/>
          <w:bCs w:val="false"/>
        </w:rPr>
        <w:t xml:space="preserve"> for every user via Supabase Auth; no shared logins.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Least privilege &amp; RBAC:</w:t>
      </w:r>
      <w:r>
        <w:rPr>
          <w:b w:val="false"/>
          <w:bCs w:val="false"/>
        </w:rPr>
        <w:t xml:space="preserve"> Application access is governed by role (administrator and scoped</w:t>
      </w:r>
    </w:p>
    <w:p>
      <w:pPr>
        <w:spacing w:after="120"/>
      </w:pPr>
      <w:r>
        <w:rPr>
          <w:b w:val="false"/>
          <w:bCs w:val="false"/>
        </w:rPr>
        <w:t xml:space="preserve">accounting roles) and enforced in the database with Row-Level Security (RLS). Server-only</w:t>
      </w:r>
    </w:p>
    <w:p>
      <w:pPr>
        <w:spacing w:after="120"/>
      </w:pPr>
      <w:r>
        <w:rPr>
          <w:b w:val="false"/>
          <w:bCs w:val="false"/>
        </w:rPr>
        <w:t xml:space="preserve">privileges (service-role keys) are never exposed to the browser.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Multi-factor authentication (MFA)</w:t>
      </w:r>
      <w:r>
        <w:rPr>
          <w:b w:val="false"/>
          <w:bCs w:val="false"/>
        </w:rPr>
        <w:t xml:space="preserve"> is required for administrators signing in to the WorkTrackPro</w:t>
      </w:r>
    </w:p>
    <w:p>
      <w:pPr>
        <w:spacing w:after="120"/>
      </w:pPr>
      <w:r>
        <w:rPr>
          <w:b w:val="false"/>
          <w:bCs w:val="false"/>
        </w:rPr>
        <w:t xml:space="preserve">application — TOTP (authenticator app), enforced at the login gate — and for all administrative</w:t>
      </w:r>
    </w:p>
    <w:p>
      <w:pPr>
        <w:spacing w:after="120"/>
      </w:pPr>
      <w:r>
        <w:rPr>
          <w:b w:val="false"/>
          <w:bCs w:val="false"/>
        </w:rPr>
        <w:t xml:space="preserve">consoles that can access production systems or sensitive data: Supabase, Netlify, GitHub, and the</w:t>
      </w:r>
    </w:p>
    <w:p>
      <w:pPr>
        <w:spacing w:after="120"/>
      </w:pPr>
      <w:r>
        <w:rPr>
          <w:b w:val="false"/>
          <w:bCs w:val="false"/>
        </w:rPr>
        <w:t xml:space="preserve">Plaid and QuickBooks dashboards. An administrator can reset a user's application MFA if a device is</w:t>
      </w:r>
    </w:p>
    <w:p>
      <w:pPr>
        <w:spacing w:after="120"/>
      </w:pPr>
      <w:r>
        <w:rPr>
          <w:b w:val="false"/>
          <w:bCs w:val="false"/>
        </w:rPr>
        <w:t xml:space="preserve">lost.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Provisioning / Deprovisioning:</w:t>
      </w:r>
      <w:r>
        <w:rPr>
          <w:b w:val="false"/>
          <w:bCs w:val="false"/>
        </w:rPr>
        <w:t xml:space="preserve"> Access is granted on a need-to-know basis and revoked promptly</w:t>
      </w:r>
    </w:p>
    <w:p>
      <w:pPr>
        <w:spacing w:after="120"/>
      </w:pPr>
      <w:r>
        <w:rPr>
          <w:b w:val="false"/>
          <w:bCs w:val="false"/>
        </w:rPr>
        <w:t xml:space="preserve">when a user leaves or changes roles.</w:t>
      </w:r>
    </w:p>
    <w:p>
      <w:pPr>
        <w:pStyle w:val="Heading2"/>
      </w:pPr>
      <w:r>
        <w:rPr>
          <w:b w:val="false"/>
          <w:bCs w:val="false"/>
        </w:rPr>
        <w:t xml:space="preserve">6. Data Protection &amp; Encryption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transit:</w:t>
      </w:r>
      <w:r>
        <w:rPr>
          <w:b w:val="false"/>
          <w:bCs w:val="false"/>
        </w:rPr>
        <w:t xml:space="preserve"> All traffic is encrypted with TLS 1.2 or higher (enforced by Netlify and</w:t>
      </w:r>
    </w:p>
    <w:p>
      <w:pPr>
        <w:spacing w:after="120"/>
      </w:pPr>
      <w:r>
        <w:rPr>
          <w:b w:val="false"/>
          <w:bCs w:val="false"/>
        </w:rPr>
        <w:t xml:space="preserve">Supabase).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 rest:</w:t>
      </w:r>
      <w:r>
        <w:rPr>
          <w:b w:val="false"/>
          <w:bCs w:val="false"/>
        </w:rPr>
        <w:t xml:space="preserve"> Production data is encrypted at rest (AES-256) by the hosting provider</w:t>
      </w:r>
    </w:p>
    <w:p>
      <w:pPr>
        <w:spacing w:after="120"/>
      </w:pPr>
      <w:r>
        <w:rPr>
          <w:b w:val="false"/>
          <w:bCs w:val="false"/>
        </w:rPr>
        <w:t xml:space="preserve">(Supabase/AWS). Sensitive third-party access tokens (e.g., Plaid, QuickBooks) are additionally</w:t>
      </w:r>
    </w:p>
    <w:p>
      <w:pPr>
        <w:spacing w:after="120"/>
      </w:pPr>
      <w:r>
        <w:rPr>
          <w:b w:val="false"/>
          <w:bCs w:val="false"/>
        </w:rPr>
        <w:t xml:space="preserve">encrypted at the application layer (AES-256-GCM) before storage and are accessible only to</w:t>
      </w:r>
    </w:p>
    <w:p>
      <w:pPr>
        <w:spacing w:after="120"/>
      </w:pPr>
      <w:r>
        <w:rPr>
          <w:b w:val="false"/>
          <w:bCs w:val="false"/>
        </w:rPr>
        <w:t xml:space="preserve">server-side functions — never returned to client browsers.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 management:</w:t>
      </w:r>
      <w:r>
        <w:rPr>
          <w:b w:val="false"/>
          <w:bCs w:val="false"/>
        </w:rPr>
        <w:t xml:space="preserve"> API keys and credentials are stored as environment variables in the</w:t>
      </w:r>
    </w:p>
    <w:p>
      <w:pPr>
        <w:spacing w:after="120"/>
      </w:pPr>
      <w:r>
        <w:rPr>
          <w:b w:val="false"/>
          <w:bCs w:val="false"/>
        </w:rPr>
        <w:t xml:space="preserve">hosting platform, never committed to source code.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limitation:</w:t>
      </w:r>
      <w:r>
        <w:rPr>
          <w:b w:val="false"/>
          <w:bCs w:val="false"/>
        </w:rPr>
        <w:t xml:space="preserve"> Financial data obtained from providers is used solely to deliver the</w:t>
      </w:r>
    </w:p>
    <w:p>
      <w:pPr>
        <w:spacing w:after="120"/>
      </w:pPr>
      <w:r>
        <w:rPr>
          <w:b w:val="false"/>
          <w:bCs w:val="false"/>
        </w:rPr>
        <w:t xml:space="preserve">Company's bookkeeping/accounting features and is accessible only to authorized administrators.</w:t>
      </w:r>
    </w:p>
    <w:p>
      <w:pPr>
        <w:pStyle w:val="Heading2"/>
      </w:pPr>
      <w:r>
        <w:rPr>
          <w:b w:val="false"/>
          <w:bCs w:val="false"/>
        </w:rPr>
        <w:t xml:space="preserve">7. Third-Party / Vendor Management</w:t>
      </w:r>
    </w:p>
    <w:p>
      <w:pPr>
        <w:spacing w:after="120"/>
      </w:pPr>
      <w:r>
        <w:rPr>
          <w:b w:val="false"/>
          <w:bCs w:val="false"/>
        </w:rPr>
        <w:t xml:space="preserve">The Company relies on reputable infrastructure and integration providers and reviews their security</w:t>
      </w:r>
    </w:p>
    <w:p>
      <w:pPr>
        <w:spacing w:after="120"/>
      </w:pPr>
      <w:r>
        <w:rPr>
          <w:b w:val="false"/>
          <w:bCs w:val="false"/>
        </w:rPr>
        <w:t xml:space="preserve">posture before and during use. Primary providers (Supabase, Netlify, Plaid, Intuit/QuickBooks,</w:t>
      </w:r>
    </w:p>
    <w:p>
      <w:pPr>
        <w:spacing w:after="120"/>
      </w:pPr>
      <w:r>
        <w:rPr>
          <w:b w:val="false"/>
          <w:bCs w:val="false"/>
        </w:rPr>
        <w:t xml:space="preserve">GitHub) maintain industry-recognized compliance (e.g., SOC 2). The vendor inventory and provider</w:t>
      </w:r>
    </w:p>
    <w:p>
      <w:pPr>
        <w:spacing w:after="120"/>
      </w:pPr>
      <w:r>
        <w:rPr>
          <w:b w:val="false"/>
          <w:bCs w:val="false"/>
        </w:rPr>
        <w:t xml:space="preserve">data handling are reviewed during the annual risk review or when a new provider is added.</w:t>
      </w:r>
    </w:p>
    <w:p>
      <w:pPr>
        <w:pStyle w:val="Heading2"/>
      </w:pPr>
      <w:r>
        <w:rPr>
          <w:b w:val="false"/>
          <w:bCs w:val="false"/>
        </w:rPr>
        <w:t xml:space="preserve">8. Vulnerability &amp; Patch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Dependencies:</w:t>
      </w:r>
      <w:r>
        <w:rPr>
          <w:b w:val="false"/>
          <w:bCs w:val="false"/>
        </w:rPr>
        <w:t xml:space="preserve"> Automated dependency vulnerability scanning (GitHub Dependabot) runs against the</w:t>
      </w:r>
    </w:p>
    <w:p>
      <w:pPr>
        <w:spacing w:after="120"/>
      </w:pPr>
      <w:r>
        <w:rPr>
          <w:b w:val="false"/>
          <w:bCs w:val="false"/>
        </w:rPr>
        <w:t xml:space="preserve">code repository; flagged vulnerabilities are triaged and remediated on a risk-prioritized basis.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</w:t>
      </w:r>
      <w:r>
        <w:rPr>
          <w:b w:val="false"/>
          <w:bCs w:val="false"/>
        </w:rPr>
        <w:t xml:space="preserve"> Production runs on managed platforms (Supabase, Netlify) that patch underlying</w:t>
      </w:r>
    </w:p>
    <w:p>
      <w:pPr>
        <w:spacing w:after="120"/>
      </w:pPr>
      <w:r>
        <w:rPr>
          <w:b w:val="false"/>
          <w:bCs w:val="false"/>
        </w:rPr>
        <w:t xml:space="preserve">servers; the Company keeps application dependencies current.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Endpoints:</w:t>
      </w:r>
      <w:r>
        <w:rPr>
          <w:b w:val="false"/>
          <w:bCs w:val="false"/>
        </w:rPr>
        <w:t xml:space="preserve"> Company and contractor devices run supported operating systems with automatic</w:t>
      </w:r>
    </w:p>
    <w:p>
      <w:pPr>
        <w:spacing w:after="120"/>
      </w:pPr>
      <w:r>
        <w:rPr>
          <w:b w:val="false"/>
          <w:bCs w:val="false"/>
        </w:rPr>
        <w:t xml:space="preserve">updates and endpoint protection (e.g., built-in OS antivirus/firewall) enabled.</w:t>
      </w:r>
    </w:p>
    <w:p>
      <w:pPr>
        <w:pStyle w:val="Heading2"/>
      </w:pPr>
      <w:r>
        <w:rPr>
          <w:b w:val="false"/>
          <w:bCs w:val="false"/>
        </w:rPr>
        <w:t xml:space="preserve">9. Secure Development &amp; Change Management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Source code is version-controlled in Git/GitHub; changes are reviewed before reaching production.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Automated quality and safety gates (type checking, linting, tests, and build verification) must</w:t>
      </w:r>
    </w:p>
    <w:p>
      <w:pPr>
        <w:spacing w:after="120"/>
      </w:pPr>
      <w:r>
        <w:rPr>
          <w:b w:val="false"/>
          <w:bCs w:val="false"/>
        </w:rPr>
        <w:t xml:space="preserve">pass before release.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Development and production environments are separated; production secrets are never used in</w:t>
      </w:r>
    </w:p>
    <w:p>
      <w:pPr>
        <w:spacing w:after="120"/>
      </w:pPr>
      <w:r>
        <w:rPr>
          <w:b w:val="false"/>
          <w:bCs w:val="false"/>
        </w:rPr>
        <w:t xml:space="preserve">development.</w:t>
      </w:r>
    </w:p>
    <w:p>
      <w:pPr>
        <w:pStyle w:val="Heading2"/>
      </w:pPr>
      <w:r>
        <w:rPr>
          <w:b w:val="false"/>
          <w:bCs w:val="false"/>
        </w:rPr>
        <w:t xml:space="preserve">10. Privacy &amp; Consent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Company maintains a published Privacy Policy describing what data is collected and how it is</w:t>
      </w:r>
    </w:p>
    <w:p>
      <w:pPr>
        <w:spacing w:after="120"/>
      </w:pPr>
      <w:r>
        <w:rPr>
          <w:b w:val="false"/>
          <w:bCs w:val="false"/>
        </w:rPr>
        <w:t xml:space="preserve">used (see the Company's Privacy Policy).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Consumer consent for connecting financial accounts is obtained through the provider's</w:t>
      </w:r>
    </w:p>
    <w:p>
      <w:pPr>
        <w:spacing w:after="120"/>
      </w:pPr>
      <w:r>
        <w:rPr>
          <w:b w:val="false"/>
          <w:bCs w:val="false"/>
        </w:rPr>
        <w:t xml:space="preserve">authorization flow (e.g., Plaid Link) and applicable Company terms; data is collected and</w:t>
      </w:r>
    </w:p>
    <w:p>
      <w:pPr>
        <w:spacing w:after="120"/>
      </w:pPr>
      <w:r>
        <w:rPr>
          <w:b w:val="false"/>
          <w:bCs w:val="false"/>
        </w:rPr>
        <w:t xml:space="preserve">processed only for the stated purpose (accounting / bookkeeping).</w:t>
      </w:r>
    </w:p>
    <w:p>
      <w:pPr>
        <w:pStyle w:val="Heading2"/>
      </w:pPr>
      <w:r>
        <w:rPr>
          <w:b w:val="false"/>
          <w:bCs w:val="false"/>
        </w:rPr>
        <w:t xml:space="preserve">11. Data Retention &amp; Deletion</w:t>
      </w:r>
    </w:p>
    <w:p>
      <w:pPr>
        <w:spacing w:after="120"/>
      </w:pPr>
      <w:r>
        <w:rPr>
          <w:b w:val="false"/>
          <w:bCs w:val="false"/>
        </w:rPr>
        <w:t xml:space="preserve">Sensitive data is retained only as long as needed for business and legal/accounting obligations and</w:t>
      </w:r>
    </w:p>
    <w:p>
      <w:pPr>
        <w:spacing w:after="120"/>
      </w:pPr>
      <w:r>
        <w:rPr>
          <w:b w:val="false"/>
          <w:bCs w:val="false"/>
        </w:rPr>
        <w:t xml:space="preserve">then deleted, per the Company's Data Retention &amp; Deletion Policy. Financial-account connections can</w:t>
      </w:r>
    </w:p>
    <w:p>
      <w:pPr>
        <w:spacing w:after="120"/>
      </w:pPr>
      <w:r>
        <w:rPr>
          <w:b w:val="false"/>
          <w:bCs w:val="false"/>
        </w:rPr>
        <w:t xml:space="preserve">be revoked at any time; disconnecting a provider removes the stored access credentials and unlinks</w:t>
      </w:r>
    </w:p>
    <w:p>
      <w:pPr>
        <w:spacing w:after="120"/>
      </w:pPr>
      <w:r>
        <w:rPr>
          <w:b w:val="false"/>
          <w:bCs w:val="false"/>
        </w:rPr>
        <w:t xml:space="preserve">the associated accounts.</w:t>
      </w:r>
    </w:p>
    <w:p>
      <w:pPr>
        <w:pStyle w:val="Heading2"/>
      </w:pPr>
      <w:r>
        <w:rPr>
          <w:b w:val="false"/>
          <w:bCs w:val="false"/>
        </w:rPr>
        <w:t xml:space="preserve">12. Incident Response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Suspected incidents are reported immediately to the Policy Owner.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Response steps: </w:t>
      </w:r>
      <w:r>
        <w:rPr>
          <w:b/>
          <w:bCs/>
        </w:rPr>
        <w:t xml:space="preserve">contain</w:t>
      </w:r>
      <w:r>
        <w:rPr>
          <w:b w:val="false"/>
          <w:bCs w:val="false"/>
        </w:rPr>
        <w:t xml:space="preserve"> (revoke credentials/tokens, disable affected access), </w:t>
      </w:r>
      <w:r>
        <w:rPr>
          <w:b/>
          <w:bCs/>
        </w:rPr>
        <w:t xml:space="preserve">assess</w:t>
      </w:r>
      <w:r>
        <w:rPr>
          <w:b w:val="false"/>
          <w:bCs w:val="false"/>
        </w:rPr>
        <w:t xml:space="preserve"> scope</w:t>
      </w:r>
    </w:p>
    <w:p>
      <w:pPr>
        <w:spacing w:after="120"/>
      </w:pPr>
      <w:r>
        <w:rPr>
          <w:b w:val="false"/>
          <w:bCs w:val="false"/>
        </w:rPr>
        <w:t xml:space="preserve">and affected data, </w:t>
      </w:r>
      <w:r>
        <w:rPr>
          <w:b/>
          <w:bCs/>
        </w:rPr>
        <w:t xml:space="preserve">remediate</w:t>
      </w:r>
      <w:r>
        <w:rPr>
          <w:b w:val="false"/>
          <w:bCs w:val="false"/>
        </w:rPr>
        <w:t xml:space="preserve"> the root cause, and </w:t>
      </w:r>
      <w:r>
        <w:rPr>
          <w:b/>
          <w:bCs/>
        </w:rPr>
        <w:t xml:space="preserve">notify</w:t>
      </w:r>
      <w:r>
        <w:rPr>
          <w:b w:val="false"/>
          <w:bCs w:val="false"/>
        </w:rPr>
        <w:t xml:space="preserve"> affected parties, providers</w:t>
      </w:r>
    </w:p>
    <w:p>
      <w:pPr>
        <w:spacing w:after="120"/>
      </w:pPr>
      <w:r>
        <w:rPr>
          <w:b w:val="false"/>
          <w:bCs w:val="false"/>
        </w:rPr>
        <w:t xml:space="preserve">(including Plaid where required), and regulators as required by law and contract.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incident and its resolution are documented for the next risk review.</w:t>
      </w:r>
    </w:p>
    <w:p>
      <w:pPr>
        <w:pStyle w:val="Heading2"/>
      </w:pPr>
      <w:r>
        <w:rPr>
          <w:b w:val="false"/>
          <w:bCs w:val="false"/>
        </w:rPr>
        <w:t xml:space="preserve">13. Backup &amp; Continuity</w:t>
      </w:r>
    </w:p>
    <w:p>
      <w:pPr>
        <w:spacing w:after="120"/>
      </w:pPr>
      <w:r>
        <w:rPr>
          <w:b w:val="false"/>
          <w:bCs w:val="false"/>
        </w:rPr>
        <w:t xml:space="preserve">Production data is backed up automatically by the hosting provider (Supabase), with point-in-time</w:t>
      </w:r>
    </w:p>
    <w:p>
      <w:pPr>
        <w:spacing w:after="120"/>
      </w:pPr>
      <w:r>
        <w:rPr>
          <w:b w:val="false"/>
          <w:bCs w:val="false"/>
        </w:rPr>
        <w:t xml:space="preserve">recovery available to restore service after data loss or corruption.</w:t>
      </w:r>
    </w:p>
    <w:p>
      <w:pPr>
        <w:pStyle w:val="Heading2"/>
      </w:pPr>
      <w:r>
        <w:rPr>
          <w:b w:val="false"/>
          <w:bCs w:val="false"/>
        </w:rPr>
        <w:t xml:space="preserve">14. Policy Review &amp; Enforcement</w:t>
      </w:r>
    </w:p>
    <w:p>
      <w:pPr>
        <w:spacing w:after="120"/>
      </w:pPr>
      <w:r>
        <w:rPr>
          <w:b w:val="false"/>
          <w:bCs w:val="false"/>
        </w:rPr>
        <w:t xml:space="preserve">This policy is reviewed at least annually and after any material change, and is updated as needed by</w:t>
      </w:r>
    </w:p>
    <w:p>
      <w:pPr>
        <w:spacing w:after="120"/>
      </w:pPr>
      <w:r>
        <w:rPr>
          <w:b w:val="false"/>
          <w:bCs w:val="false"/>
        </w:rPr>
        <w:t xml:space="preserve">the Policy Owner. Violations may result in revoked access and, for staff/contractors, disciplinary</w:t>
      </w:r>
    </w:p>
    <w:p>
      <w:pPr>
        <w:spacing w:after="120"/>
      </w:pPr>
      <w:r>
        <w:rPr>
          <w:b w:val="false"/>
          <w:bCs w:val="false"/>
        </w:rPr>
        <w:t xml:space="preserve">action. Exceptions must be approved in writing by the Policy Owner.</w:t>
      </w:r>
    </w:p>
    <w:p>
      <w:pPr>
        <w:spacing w:before="120"/>
      </w:pPr>
      <w:r>
        <w:rPr>
          <w:i/>
          <w:iCs/>
          <w:color w:val="666666"/>
        </w:rPr>
        <w:t xml:space="preserve">Document control: maintained by the Policy Owner (Jacob Rough, CEO). Supersedes all prior versions.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2026-06-17T22:42:44.481Z</dcterms:created>
  <dcterms:modified xsi:type="dcterms:W3CDTF">2026-06-17T22:42:44.482Z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