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Subprocessor List</w:t>
      </w:r>
    </w:p>
    <w:p>
      <w:pPr>
        <w:spacing w:after="120"/>
      </w:pPr>
      <w:r>
        <w:rPr>
          <w:b/>
          <w:bCs/>
        </w:rPr>
        <w:t xml:space="preserve">Organization:</w:t>
      </w:r>
      <w:r>
        <w:rPr>
          <w:b w:val="false"/>
          <w:bCs w:val="false"/>
        </w:rPr>
        <w:t xml:space="preserve"> Rough Cut Manufacturing — operator of WorkTrackPro</w:t>
      </w:r>
    </w:p>
    <w:p>
      <w:pPr>
        <w:spacing w:after="120"/>
      </w:pPr>
      <w:r>
        <w:rPr>
          <w:b/>
          <w:bCs/>
        </w:rPr>
        <w:t xml:space="preserve">Policy Owner:</w:t>
      </w:r>
      <w:r>
        <w:rPr>
          <w:b w:val="false"/>
          <w:bCs w:val="false"/>
        </w:rPr>
        <w:t xml:space="preserve"> Jacob Rough, CEO — jacobrrough@gmail.com</w:t>
      </w:r>
    </w:p>
    <w:p>
      <w:pPr>
        <w:spacing w:after="120"/>
      </w:pPr>
      <w:r>
        <w:rPr>
          <w:b/>
          <w:bCs/>
        </w:rPr>
        <w:t xml:space="preserve">Last updated:</w:t>
      </w:r>
      <w:r>
        <w:rPr>
          <w:b w:val="false"/>
          <w:bCs w:val="false"/>
        </w:rPr>
        <w:t xml:space="preserve"> June 17, 2026</w:t>
      </w:r>
    </w:p>
    <w:p>
      <w:pPr>
        <w:spacing w:after="120"/>
      </w:pPr>
      <w:r>
        <w:rPr>
          <w:b w:val="false"/>
          <w:bCs w:val="false"/>
        </w:rPr>
        <w:t xml:space="preserve">Rough Cut Manufacturing uses the third-party service providers ("subprocessors") below to operate</w:t>
      </w:r>
    </w:p>
    <w:p>
      <w:pPr>
        <w:spacing w:after="120"/>
      </w:pPr>
      <w:r>
        <w:rPr>
          <w:b w:val="false"/>
          <w:bCs w:val="false"/>
        </w:rPr>
        <w:t xml:space="preserve">the WorkTrackPro application. Each processes data only as needed to provide its service and under</w:t>
      </w:r>
    </w:p>
    <w:p>
      <w:pPr>
        <w:spacing w:after="120"/>
      </w:pPr>
      <w:r>
        <w:rPr>
          <w:b w:val="false"/>
          <w:bCs w:val="false"/>
        </w:rPr>
        <w:t xml:space="preserve">its own security and compliance commitments. We review this list during our annual risk review and</w:t>
      </w:r>
    </w:p>
    <w:p>
      <w:pPr>
        <w:spacing w:after="120"/>
      </w:pPr>
      <w:r>
        <w:rPr>
          <w:b w:val="false"/>
          <w:bCs w:val="false"/>
        </w:rPr>
        <w:t xml:space="preserve">when adding a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Subprocessor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processed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</w:t>
            </w:r>
            <w:r>
              <w:rPr>
                <w:b w:val="false"/>
                <w:bCs w:val="false"/>
              </w:rPr>
              <w:t xml:space="preserve"> (incl. AWS)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database, authentication, file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application data: accounts, job/manufacturing, customer/vendor, accounting, and bank-feed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United States (AWS us-west-2)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 Type II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Netlify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hosting and serverless functions (API/integration endpoints)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traffic, request data, and operational logs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United States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 Type II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Plaid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 / credit-card account connectivity and transaction sync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Financial-account data: account name/mask, balances, and transactions; provider access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United States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 Type II, ISO 27001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Intuit / QuickBooks Online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Accounting-platform synchronization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Accounting records synced to/from QuickBooks; provider access tokens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United States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Cloudflare</w:t>
            </w:r>
            <w:r>
              <w:rPr>
                <w:b w:val="false"/>
                <w:bCs w:val="false"/>
              </w:rPr>
              <w:t xml:space="preserve"> (Turnstile)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Bot/abuse protection on public forms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 technical data (e.g., IP, challenge token) on public form submissions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Global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 Type II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Source-code hosting and dependency vulnerability scanning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source code only — no customer or financial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United States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 Type II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Access tokens for financial integrations (Plaid, QuickBooks) are stored encrypted and are</w:t>
      </w:r>
    </w:p>
    <w:p>
      <w:pPr>
        <w:spacing w:after="120"/>
      </w:pPr>
      <w:r>
        <w:rPr>
          <w:b w:val="false"/>
          <w:bCs w:val="false"/>
        </w:rPr>
        <w:t xml:space="preserve">accessible only to server-side functions; they are never exposed to client browsers.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 do not sell personal information, and we do not share data with subprocessors for their own</w:t>
      </w:r>
    </w:p>
    <w:p>
      <w:pPr>
        <w:spacing w:after="120"/>
      </w:pPr>
      <w:r>
        <w:rPr>
          <w:b w:val="false"/>
          <w:bCs w:val="false"/>
        </w:rPr>
        <w:t xml:space="preserve">marketing.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Questions about subprocessors: jacobrrough@gmail.com.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2026-06-17T20:20:22.256Z</dcterms:created>
  <dcterms:modified xsi:type="dcterms:W3CDTF">2026-06-17T20:20:22.256Z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