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05E7" w14:textId="7CFE9700" w:rsidR="00AD3BF9" w:rsidRDefault="00AD3BF9" w:rsidP="00AD3BF9">
      <w:pPr>
        <w:pStyle w:val="Heading1"/>
      </w:pPr>
      <w:r>
        <w:t>Methods</w:t>
      </w:r>
    </w:p>
    <w:p w14:paraId="357FDE8D" w14:textId="550101CE" w:rsidR="001C3B10" w:rsidRPr="00AD3BF9" w:rsidRDefault="00320A66" w:rsidP="00AD3BF9">
      <w:pPr>
        <w:pStyle w:val="Heading1"/>
      </w:pPr>
      <w:r>
        <w:t>St</w:t>
      </w:r>
      <w:r w:rsidR="001C3B10" w:rsidRPr="00AD3BF9">
        <w:t>atistical analysis</w:t>
      </w:r>
    </w:p>
    <w:p w14:paraId="750A2547" w14:textId="0589AA22" w:rsidR="00DC2137" w:rsidRPr="00AD3BF9" w:rsidRDefault="001C3B10" w:rsidP="00AD3BF9">
      <w:pPr>
        <w:pStyle w:val="Heading2"/>
      </w:pPr>
      <w:r w:rsidRPr="00AD3BF9">
        <w:t>Data preparation</w:t>
      </w:r>
    </w:p>
    <w:p w14:paraId="58577D95" w14:textId="7F07907F" w:rsidR="001C3B10" w:rsidRDefault="001C3B10" w:rsidP="001C3B10">
      <w:r>
        <w:t xml:space="preserve">We conducted all analyses in R using the </w:t>
      </w:r>
      <w:proofErr w:type="spellStart"/>
      <w:r>
        <w:rPr>
          <w:rStyle w:val="HTMLCode"/>
          <w:rFonts w:eastAsiaTheme="minorEastAsia"/>
        </w:rPr>
        <w:t>tidyverse</w:t>
      </w:r>
      <w:proofErr w:type="spellEnd"/>
      <w:r>
        <w:t xml:space="preserve">, </w:t>
      </w:r>
      <w:r>
        <w:rPr>
          <w:rStyle w:val="HTMLCode"/>
          <w:rFonts w:eastAsiaTheme="minorEastAsia"/>
        </w:rPr>
        <w:t>vegan</w:t>
      </w:r>
      <w:r>
        <w:t xml:space="preserve">, </w:t>
      </w:r>
      <w:r>
        <w:rPr>
          <w:rStyle w:val="HTMLCode"/>
          <w:rFonts w:eastAsiaTheme="minorEastAsia"/>
        </w:rPr>
        <w:t>lme4</w:t>
      </w:r>
      <w:r>
        <w:t xml:space="preserve">, </w:t>
      </w:r>
      <w:proofErr w:type="spellStart"/>
      <w:r>
        <w:rPr>
          <w:rStyle w:val="HTMLCode"/>
          <w:rFonts w:eastAsiaTheme="minorEastAsia"/>
        </w:rPr>
        <w:t>lmerTest</w:t>
      </w:r>
      <w:proofErr w:type="spellEnd"/>
      <w:r>
        <w:t xml:space="preserve">, </w:t>
      </w:r>
      <w:proofErr w:type="spellStart"/>
      <w:proofErr w:type="gramStart"/>
      <w:r>
        <w:rPr>
          <w:rStyle w:val="HTMLCode"/>
          <w:rFonts w:eastAsiaTheme="minorEastAsia"/>
        </w:rPr>
        <w:t>broom.mixed</w:t>
      </w:r>
      <w:proofErr w:type="spellEnd"/>
      <w:proofErr w:type="gramEnd"/>
      <w:r>
        <w:t xml:space="preserve">, </w:t>
      </w:r>
      <w:proofErr w:type="spellStart"/>
      <w:r>
        <w:rPr>
          <w:rStyle w:val="HTMLCode"/>
          <w:rFonts w:eastAsiaTheme="minorEastAsia"/>
        </w:rPr>
        <w:t>emmeans</w:t>
      </w:r>
      <w:proofErr w:type="spellEnd"/>
      <w:r>
        <w:t xml:space="preserve">, and </w:t>
      </w:r>
      <w:proofErr w:type="spellStart"/>
      <w:r>
        <w:rPr>
          <w:rStyle w:val="HTMLCode"/>
          <w:rFonts w:eastAsiaTheme="minorEastAsia"/>
        </w:rPr>
        <w:t>ggdist</w:t>
      </w:r>
      <w:proofErr w:type="spellEnd"/>
      <w:r>
        <w:t xml:space="preserve"> packages. We joined the full-length 16S and 799F EMU abundance tables by taxonomic identifier (</w:t>
      </w:r>
      <w:proofErr w:type="spellStart"/>
      <w:r>
        <w:rPr>
          <w:rStyle w:val="HTMLCode"/>
          <w:rFonts w:eastAsiaTheme="minorEastAsia"/>
        </w:rPr>
        <w:t>tax_id</w:t>
      </w:r>
      <w:proofErr w:type="spellEnd"/>
      <w:r>
        <w:t xml:space="preserve">) and reconciled duplicated taxonomic annotations across marker sets. We then collapsed features to genus by summing abundance values across taxonomic identifiers. When a feature lacked a genus assignment, we retained it as a separate unclassified taxon identified by its </w:t>
      </w:r>
      <w:proofErr w:type="spellStart"/>
      <w:r>
        <w:rPr>
          <w:rStyle w:val="HTMLCode"/>
          <w:rFonts w:eastAsiaTheme="minorEastAsia"/>
        </w:rPr>
        <w:t>tax_id</w:t>
      </w:r>
      <w:proofErr w:type="spellEnd"/>
      <w:r>
        <w:t>. We matched sample identifiers between the abundance tables and metadata and assigned each sample to one of seven compartments: bulk soil collected more than 1 m from the focal plant, rhizosphere soil, root, leaf endophyte, leaf epiphyte, fruit endophyte, or fruit epiphyte.</w:t>
      </w:r>
    </w:p>
    <w:p w14:paraId="2F799399" w14:textId="77777777" w:rsidR="001C3B10" w:rsidRDefault="001C3B10" w:rsidP="001C3B10">
      <w:r>
        <w:t>For the primary poster analysis, we restricted the dataset to the five sites represented in all seven compartments so that we evaluated every compartment across the same set of sites. We excluded samples with zero total abundance when required and removed taxa absent from all samples within each analytical subset.</w:t>
      </w:r>
    </w:p>
    <w:p w14:paraId="6BD4602A" w14:textId="77777777" w:rsidR="001C3B10" w:rsidRDefault="00000000" w:rsidP="00AD3BF9">
      <w:pPr>
        <w:pStyle w:val="Heading2"/>
      </w:pPr>
      <w:r>
        <w:t>Bray-</w:t>
      </w:r>
      <w:proofErr w:type="gramStart"/>
      <w:r>
        <w:t>Curtis</w:t>
      </w:r>
      <w:proofErr w:type="gramEnd"/>
      <w:r>
        <w:t xml:space="preserve"> dissimilarity</w:t>
      </w:r>
    </w:p>
    <w:p w14:paraId="20FBA9F7" w14:textId="474CE405" w:rsidR="001C3B10" w:rsidRDefault="001C3B10" w:rsidP="001C3B10">
      <w:r>
        <w:t>For each compartment, we calculated Bray–</w:t>
      </w:r>
      <w:proofErr w:type="gramStart"/>
      <w:r>
        <w:t>Curtis</w:t>
      </w:r>
      <w:proofErr w:type="gramEnd"/>
      <w:r>
        <w:t xml:space="preserve"> dissimilarity among all possible pairs of sampled plants using </w:t>
      </w:r>
      <w:proofErr w:type="gramStart"/>
      <w:r>
        <w:rPr>
          <w:rStyle w:val="HTMLCode"/>
          <w:rFonts w:eastAsiaTheme="minorEastAsia"/>
        </w:rPr>
        <w:t>vegan::</w:t>
      </w:r>
      <w:proofErr w:type="spellStart"/>
      <w:proofErr w:type="gramEnd"/>
      <w:r>
        <w:rPr>
          <w:rStyle w:val="HTMLCode"/>
          <w:rFonts w:eastAsiaTheme="minorEastAsia"/>
        </w:rPr>
        <w:t>vegdist</w:t>
      </w:r>
      <w:proofErr w:type="spellEnd"/>
      <w:r>
        <w:t>. We annotated each dyad with the identities and sites of both plants and indicated whether the two plants came from the same site. We then joined the compartment-specific distance tables into a single plant-pair-by-compartment table. We retained missing distances at this stage and removed them separately for each model so that every comparison used all available dyads for the two focal compartments.</w:t>
      </w:r>
    </w:p>
    <w:p w14:paraId="0B076027" w14:textId="77777777" w:rsidR="00DC2137" w:rsidRDefault="00000000" w:rsidP="00AD3BF9">
      <w:pPr>
        <w:pStyle w:val="Heading2"/>
      </w:pPr>
      <w:r>
        <w:t>Site effects within compartments</w:t>
      </w:r>
    </w:p>
    <w:p w14:paraId="76AE637A" w14:textId="49B7FDBD" w:rsidR="001C3B10" w:rsidRDefault="001C3B10" w:rsidP="001C3B10">
      <w:r>
        <w:t>To quantify spatial structuring within each microbiome compartment, we fit a separate permutational multivariate analysis of variance (PERMANOVA) for each compartment with site as the predictor and Bray–</w:t>
      </w:r>
      <w:proofErr w:type="gramStart"/>
      <w:r>
        <w:t>Curtis</w:t>
      </w:r>
      <w:proofErr w:type="gramEnd"/>
      <w:r>
        <w:t xml:space="preserve"> dissimilarity as the response. We fit models using </w:t>
      </w:r>
      <w:proofErr w:type="gramStart"/>
      <w:r>
        <w:rPr>
          <w:rStyle w:val="HTMLCode"/>
          <w:rFonts w:eastAsiaTheme="minorEastAsia"/>
        </w:rPr>
        <w:t>vegan::</w:t>
      </w:r>
      <w:proofErr w:type="gramEnd"/>
      <w:r>
        <w:rPr>
          <w:rStyle w:val="HTMLCode"/>
          <w:rFonts w:eastAsiaTheme="minorEastAsia"/>
        </w:rPr>
        <w:t>adonis2</w:t>
      </w:r>
      <w:r>
        <w:t xml:space="preserve"> with 9,999 permutations and interpreted the PERMANOVA R² as the proportion of variation in community composition explained by site. Because we tested site effects independently across all seven compartments, we adjusted P values using the Benjamini–Hochberg false discovery rate (FDR) procedure to control the expected proportion of false positives while maintaining greater statistical power than more conservative family-wise error corrections.</w:t>
      </w:r>
    </w:p>
    <w:p w14:paraId="1B2B25AD" w14:textId="77777777" w:rsidR="001C3B10" w:rsidRDefault="001C3B10" w:rsidP="001C3B10">
      <w:r>
        <w:t xml:space="preserve">Because PERMANOVA can detect differences in within-group dispersion as well as differences in group centroids, we also tested for homogeneity of multivariate dispersion among sites within each </w:t>
      </w:r>
      <w:r>
        <w:lastRenderedPageBreak/>
        <w:t xml:space="preserve">compartment. We used </w:t>
      </w:r>
      <w:proofErr w:type="gramStart"/>
      <w:r>
        <w:rPr>
          <w:rStyle w:val="HTMLCode"/>
          <w:rFonts w:eastAsiaTheme="minorEastAsia"/>
        </w:rPr>
        <w:t>vegan::</w:t>
      </w:r>
      <w:proofErr w:type="spellStart"/>
      <w:proofErr w:type="gramEnd"/>
      <w:r>
        <w:rPr>
          <w:rStyle w:val="HTMLCode"/>
          <w:rFonts w:eastAsiaTheme="minorEastAsia"/>
        </w:rPr>
        <w:t>betadisper</w:t>
      </w:r>
      <w:proofErr w:type="spellEnd"/>
      <w:r>
        <w:t xml:space="preserve"> to calculate distances of samples to their site centroids with bias adjustment and assessed significance with </w:t>
      </w:r>
      <w:proofErr w:type="gramStart"/>
      <w:r>
        <w:rPr>
          <w:rStyle w:val="HTMLCode"/>
          <w:rFonts w:eastAsiaTheme="minorEastAsia"/>
        </w:rPr>
        <w:t>vegan::</w:t>
      </w:r>
      <w:proofErr w:type="spellStart"/>
      <w:proofErr w:type="gramEnd"/>
      <w:r>
        <w:rPr>
          <w:rStyle w:val="HTMLCode"/>
          <w:rFonts w:eastAsiaTheme="minorEastAsia"/>
        </w:rPr>
        <w:t>permutest</w:t>
      </w:r>
      <w:proofErr w:type="spellEnd"/>
      <w:r>
        <w:t xml:space="preserve"> using 9,999 permutations. We adjusted P values from these seven dispersion tests separately using the Benjamini–Hochberg FDR procedure.</w:t>
      </w:r>
    </w:p>
    <w:p w14:paraId="6F4F2BBF" w14:textId="77777777" w:rsidR="00DC2137" w:rsidRDefault="00000000" w:rsidP="00AD3BF9">
      <w:pPr>
        <w:pStyle w:val="Heading2"/>
      </w:pPr>
      <w:r>
        <w:t>Coordination of microbiome turnover among compartments</w:t>
      </w:r>
    </w:p>
    <w:p w14:paraId="43ED3A33" w14:textId="1B8CB2C5" w:rsidR="001C3B10" w:rsidRDefault="001C3B10" w:rsidP="001C3B10">
      <w:r>
        <w:t>We next tested whether plant pairs that were more dissimilar in one microbiome compartment were also more dissimilar in another. We analyzed each of the 21 unique compartment pairs using a separate linear mixed-effects model. For each model, we standardized both the response and predictor Bray–</w:t>
      </w:r>
      <w:proofErr w:type="gramStart"/>
      <w:r>
        <w:t>Curtis</w:t>
      </w:r>
      <w:proofErr w:type="gramEnd"/>
      <w:r>
        <w:t xml:space="preserve"> dissimilarities to a mean of 0 and standard deviation of 1. We fit models of the form:</w:t>
      </w:r>
    </w:p>
    <w:p w14:paraId="3AE7FCBC" w14:textId="0FF74131" w:rsidR="001C3B10" w:rsidRDefault="001C3B10" w:rsidP="001C3B10">
      <w:r>
        <w:rPr>
          <w:i/>
          <w:iCs/>
        </w:rPr>
        <w:t>standardized response dissimilarity ~ standardized predictor dissimilarity + same-site status + (1 | Site_1) + (1 | Site_2) + (1 | Plant_1) + (1 | Plant_2)</w:t>
      </w:r>
    </w:p>
    <w:p w14:paraId="197595BC" w14:textId="2391159F" w:rsidR="001C3B10" w:rsidRDefault="001C3B10" w:rsidP="001C3B10">
      <w:r>
        <w:t>We included same-site status as a fixed effect to account for the average difference between within-site and among-site plant pairs. We included crossed random intercepts for the two sites and two plants comprising each dyad to account for the repeated use of sites and individual plants across multiple pairwise comparisons. Consequently, the standardized predictor coefficient estimates the association between dissimilarities in two compartments after controlling for broad site-level turnover and the non-independence of dyadic observations; it should not be interpreted as a simple correlation.</w:t>
      </w:r>
    </w:p>
    <w:p w14:paraId="4EFE056B" w14:textId="77777777" w:rsidR="001C3B10" w:rsidRDefault="001C3B10" w:rsidP="001C3B10">
      <w:r>
        <w:t xml:space="preserve">We fit all models by maximum likelihood using </w:t>
      </w:r>
      <w:r>
        <w:rPr>
          <w:rStyle w:val="HTMLCode"/>
          <w:rFonts w:eastAsiaTheme="minorEastAsia"/>
        </w:rPr>
        <w:t>lme</w:t>
      </w:r>
      <w:proofErr w:type="gramStart"/>
      <w:r>
        <w:rPr>
          <w:rStyle w:val="HTMLCode"/>
          <w:rFonts w:eastAsiaTheme="minorEastAsia"/>
        </w:rPr>
        <w:t>4::</w:t>
      </w:r>
      <w:proofErr w:type="spellStart"/>
      <w:proofErr w:type="gramEnd"/>
      <w:r>
        <w:rPr>
          <w:rStyle w:val="HTMLCode"/>
          <w:rFonts w:eastAsiaTheme="minorEastAsia"/>
        </w:rPr>
        <w:t>lmer</w:t>
      </w:r>
      <w:proofErr w:type="spellEnd"/>
      <w:r>
        <w:t xml:space="preserve"> with the </w:t>
      </w:r>
      <w:proofErr w:type="spellStart"/>
      <w:r>
        <w:rPr>
          <w:rStyle w:val="s1"/>
          <w:i/>
          <w:iCs/>
        </w:rPr>
        <w:t>bobyqa</w:t>
      </w:r>
      <w:proofErr w:type="spellEnd"/>
      <w:r>
        <w:t xml:space="preserve"> optimizer and a maximum of 200,000 function evaluations. We estimated 95% confidence intervals and tested fixed effects using </w:t>
      </w:r>
      <w:proofErr w:type="spellStart"/>
      <w:proofErr w:type="gramStart"/>
      <w:r>
        <w:rPr>
          <w:rStyle w:val="HTMLCode"/>
          <w:rFonts w:eastAsiaTheme="minorEastAsia"/>
        </w:rPr>
        <w:t>broom.mixed</w:t>
      </w:r>
      <w:proofErr w:type="spellEnd"/>
      <w:proofErr w:type="gramEnd"/>
      <w:r>
        <w:t xml:space="preserve"> and </w:t>
      </w:r>
      <w:proofErr w:type="spellStart"/>
      <w:r>
        <w:rPr>
          <w:rStyle w:val="HTMLCode"/>
          <w:rFonts w:eastAsiaTheme="minorEastAsia"/>
        </w:rPr>
        <w:t>lmerTest</w:t>
      </w:r>
      <w:proofErr w:type="spellEnd"/>
      <w:r>
        <w:t>. Because we fit 21 compartment-pair models, we adjusted P values for the compartment-coordination coefficients using the Benjamini–Hochberg false discovery rate procedure. Finally, we recorded model convergence, singularity, random-effect variances, and the numbers of sites, plants, and dyads for diagnostic evaluation.</w:t>
      </w:r>
    </w:p>
    <w:p w14:paraId="50E4BAE6" w14:textId="77777777" w:rsidR="00DC2137" w:rsidRDefault="00000000" w:rsidP="00AD3BF9">
      <w:pPr>
        <w:pStyle w:val="Heading2"/>
      </w:pPr>
      <w:r>
        <w:t>Do within-site versus among-site differences vary among compartments?</w:t>
      </w:r>
    </w:p>
    <w:p w14:paraId="57284AD8" w14:textId="77A045B4" w:rsidR="001C3B10" w:rsidRDefault="001C3B10" w:rsidP="001C3B10">
      <w:r>
        <w:t>To test whether the strength of site-associated similarity varied among microbiome compartments, we combined all compartment-specific dyads in a repeated-measures dyadic mixed model. We coded among-site status as 0 for pairs of plants from the same site and 1 for pairs from different sites. This coding allowed the coefficient for among-site status to represent the increase in Bray–Curtis dissimilarity from within-site to among-site pairs.</w:t>
      </w:r>
    </w:p>
    <w:p w14:paraId="18306B4D" w14:textId="363A5A20" w:rsidR="001C3B10" w:rsidRDefault="001C3B10" w:rsidP="001C3B10">
      <w:r>
        <w:t>We were specifically interested in the interaction between compartment and among-site status because that interaction tests whether the within-site versus among-site difference changes across compartments. In other words, it asks whether some microbiomes show strong spatial structuring, with much lower dissimilarity within sites than among sites, while others remain similarly variable regardless of whether the two plants occur at the same site. We fit the following model:</w:t>
      </w:r>
    </w:p>
    <w:p w14:paraId="1D5680F4" w14:textId="207B5360" w:rsidR="001C3B10" w:rsidRDefault="001C3B10" w:rsidP="001C3B10">
      <w:r>
        <w:rPr>
          <w:i/>
          <w:iCs/>
        </w:rPr>
        <w:lastRenderedPageBreak/>
        <w:t>Bray–</w:t>
      </w:r>
      <w:proofErr w:type="gramStart"/>
      <w:r>
        <w:rPr>
          <w:i/>
          <w:iCs/>
        </w:rPr>
        <w:t>Curtis</w:t>
      </w:r>
      <w:proofErr w:type="gramEnd"/>
      <w:r>
        <w:rPr>
          <w:i/>
          <w:iCs/>
        </w:rPr>
        <w:t xml:space="preserve"> dissimilarity ~ compartment × among-site status + (1 | Site_1) + (1 | Site_2) + (1 | Plant_1) + (1 | Plant_2) + (1 | </w:t>
      </w:r>
      <w:proofErr w:type="spellStart"/>
      <w:r>
        <w:rPr>
          <w:i/>
          <w:iCs/>
        </w:rPr>
        <w:t>Plant_pair</w:t>
      </w:r>
      <w:proofErr w:type="spellEnd"/>
      <w:r>
        <w:rPr>
          <w:i/>
          <w:iCs/>
        </w:rPr>
        <w:t>)</w:t>
      </w:r>
    </w:p>
    <w:p w14:paraId="32BB7616" w14:textId="235C1922" w:rsidR="001C3B10" w:rsidRDefault="001C3B10" w:rsidP="001C3B10">
      <w:r>
        <w:t>We included crossed random intercepts for the two sites and two plants in each dyad because individual sites and plants appeared repeatedly across many pairwise comparisons. We also included a random intercept for plant pair because the same dyad contributed one dissimilarity value for each microbiome compartment. This term accounted for repeated measurements of the same plant pair across compartments.</w:t>
      </w:r>
    </w:p>
    <w:p w14:paraId="1A9696E6" w14:textId="2DC6168E" w:rsidR="001C3B10" w:rsidRDefault="001C3B10" w:rsidP="001C3B10">
      <w:r>
        <w:t xml:space="preserve">We fit models by maximum likelihood using </w:t>
      </w:r>
      <w:r>
        <w:rPr>
          <w:rStyle w:val="HTMLCode"/>
          <w:rFonts w:eastAsiaTheme="minorEastAsia"/>
        </w:rPr>
        <w:t>lme</w:t>
      </w:r>
      <w:proofErr w:type="gramStart"/>
      <w:r>
        <w:rPr>
          <w:rStyle w:val="HTMLCode"/>
          <w:rFonts w:eastAsiaTheme="minorEastAsia"/>
        </w:rPr>
        <w:t>4::</w:t>
      </w:r>
      <w:proofErr w:type="spellStart"/>
      <w:proofErr w:type="gramEnd"/>
      <w:r>
        <w:rPr>
          <w:rStyle w:val="HTMLCode"/>
          <w:rFonts w:eastAsiaTheme="minorEastAsia"/>
        </w:rPr>
        <w:t>lmer</w:t>
      </w:r>
      <w:proofErr w:type="spellEnd"/>
      <w:r>
        <w:t xml:space="preserve"> with the </w:t>
      </w:r>
      <w:proofErr w:type="spellStart"/>
      <w:r>
        <w:rPr>
          <w:rStyle w:val="s1"/>
          <w:i/>
          <w:iCs/>
        </w:rPr>
        <w:t>bobyqa</w:t>
      </w:r>
      <w:proofErr w:type="spellEnd"/>
      <w:r>
        <w:t xml:space="preserve"> optimizer. To test whether the site effect differed among compartments, we compared the interaction model with a reduced model containing only additive effects of compartment and among-site status. We evaluated the interaction with a likelihood-ratio test.</w:t>
      </w:r>
    </w:p>
    <w:p w14:paraId="1E27B685" w14:textId="77777777" w:rsidR="001C3B10" w:rsidRDefault="001C3B10" w:rsidP="001C3B10">
      <w:r>
        <w:t xml:space="preserve">We then used </w:t>
      </w:r>
      <w:proofErr w:type="spellStart"/>
      <w:proofErr w:type="gramStart"/>
      <w:r>
        <w:rPr>
          <w:rStyle w:val="HTMLCode"/>
          <w:rFonts w:eastAsiaTheme="minorEastAsia"/>
        </w:rPr>
        <w:t>emmeans</w:t>
      </w:r>
      <w:proofErr w:type="spellEnd"/>
      <w:r>
        <w:rPr>
          <w:rStyle w:val="HTMLCode"/>
          <w:rFonts w:eastAsiaTheme="minorEastAsia"/>
        </w:rPr>
        <w:t>::</w:t>
      </w:r>
      <w:proofErr w:type="spellStart"/>
      <w:proofErr w:type="gramEnd"/>
      <w:r>
        <w:rPr>
          <w:rStyle w:val="HTMLCode"/>
          <w:rFonts w:eastAsiaTheme="minorEastAsia"/>
        </w:rPr>
        <w:t>emtrends</w:t>
      </w:r>
      <w:proofErr w:type="spellEnd"/>
      <w:r>
        <w:t xml:space="preserve"> to estimate the among-site minus within-site difference separately for each compartment. Positive estimates indicated that plant pairs from different sites were more dissimilar than pairs from the same site, whereas estimates near zero indicated little site-associated similarity. Because the dyadic dataset exceeded the default threshold for finite-sample degrees-of-freedom corrections, we used asymptotic Wald tests and confidence intervals for these compartment-specific trends. We adjusted P values across the seven compartment-specific trends using the Benjamini–Hochberg false discovery rate procedure. We also used Benjamini–Hochberg-adjusted pairwise contrasts to identify which compartments differed in the strength of their within-site versus among-site dissimilarity gap.</w:t>
      </w:r>
    </w:p>
    <w:p w14:paraId="159C6521" w14:textId="7C919BC3" w:rsidR="00DC2137" w:rsidRDefault="001C3B10" w:rsidP="00AD3BF9">
      <w:pPr>
        <w:pStyle w:val="Heading2"/>
      </w:pPr>
      <w:r>
        <w:t>Poster-Specific - Sensitivity analysis</w:t>
      </w:r>
    </w:p>
    <w:p w14:paraId="2BE05FC2" w14:textId="77777777" w:rsidR="00DC2137" w:rsidRDefault="00000000" w:rsidP="001C3B10">
      <w:r>
        <w:t>To evaluate whether incomplete sampling of some plant-by-compartment combinations influenced inference, the complete analytical workflow was repeated in a separate sensitivity analysis restricted to the 36 individual plants represented in all seven compartments. This complete-case analysis forced every compartment-specific distance matrix to contain the same host individuals. Qualitative agreement between the primary and complete-plant analyses was used to assess robustness to missing samples.</w:t>
      </w:r>
    </w:p>
    <w:p w14:paraId="1A44B7B1" w14:textId="77777777" w:rsidR="00AD3BF9" w:rsidRDefault="00AD3BF9" w:rsidP="00AD3BF9">
      <w:pPr>
        <w:pStyle w:val="Heading1"/>
      </w:pPr>
      <w:r>
        <w:t>Results</w:t>
      </w:r>
    </w:p>
    <w:p w14:paraId="5947B599" w14:textId="77777777" w:rsidR="00AD3BF9" w:rsidRPr="00AD3BF9" w:rsidRDefault="00AD3BF9" w:rsidP="00AD3BF9">
      <w:pPr>
        <w:pStyle w:val="Heading2"/>
      </w:pPr>
      <w:r w:rsidRPr="00AD3BF9">
        <w:t>Question 1. Does microbiome composition vary among sites?</w:t>
      </w:r>
    </w:p>
    <w:p w14:paraId="50A76B5D" w14:textId="77777777" w:rsidR="00682C5E" w:rsidRDefault="00AD3BF9" w:rsidP="00AD3BF9">
      <w:r>
        <w:t xml:space="preserve">Microbiome composition differed significantly among sites in five of the seven compartments after Benjamini–Hochberg correction (Fig. 1). Site explained approximately 17–35% of the variation in community composition, although the magnitude of spatial structuring differed among compartments. Leaf epiphytes exhibited the strongest site effect (PERMANOVA R² = 0.35), followed by rhizosphere soil (R² = 0.30), leaf endophytes (R² = 0.30), and bulk soil (R² = 0.29). Root microbiomes were also significantly structured by site but </w:t>
      </w:r>
      <w:proofErr w:type="gramStart"/>
      <w:r>
        <w:t>more weakly</w:t>
      </w:r>
      <w:proofErr w:type="gramEnd"/>
      <w:r>
        <w:t xml:space="preserve"> (R² = 0.17). In </w:t>
      </w:r>
      <w:r>
        <w:lastRenderedPageBreak/>
        <w:t xml:space="preserve">contrast, neither fruit epiphytes (R² = 0.15) nor fruit endophytes (R² = 0.16) showed significant </w:t>
      </w:r>
      <w:proofErr w:type="spellStart"/>
      <w:r>
        <w:t>site</w:t>
      </w:r>
      <w:proofErr w:type="spellEnd"/>
      <w:r>
        <w:t xml:space="preserve"> effects after multiple-test correction. Tests of multivariate dispersion detected no significant heterogeneity among sites for any compartment, indicating that PERMANOVA results primarily reflected shifts in community composition rather than differences in within-site variance.</w:t>
      </w:r>
    </w:p>
    <w:p w14:paraId="2EEE81E5" w14:textId="77777777" w:rsidR="00682C5E" w:rsidRDefault="00682C5E" w:rsidP="00AD3BF9"/>
    <w:p w14:paraId="2F0EA68B" w14:textId="41CEA075" w:rsidR="00AD3BF9" w:rsidRDefault="00682C5E" w:rsidP="00AD3BF9">
      <w:r>
        <w:rPr>
          <w:noProof/>
        </w:rPr>
        <w:drawing>
          <wp:inline distT="0" distB="0" distL="0" distR="0" wp14:anchorId="297D2C71" wp14:editId="185BD054">
            <wp:extent cx="6126480" cy="3676015"/>
            <wp:effectExtent l="0" t="0" r="0" b="0"/>
            <wp:docPr id="75977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75022" name="Picture 759775022"/>
                    <pic:cNvPicPr/>
                  </pic:nvPicPr>
                  <pic:blipFill>
                    <a:blip r:embed="rId8"/>
                    <a:stretch>
                      <a:fillRect/>
                    </a:stretch>
                  </pic:blipFill>
                  <pic:spPr>
                    <a:xfrm>
                      <a:off x="0" y="0"/>
                      <a:ext cx="6126480" cy="3676015"/>
                    </a:xfrm>
                    <a:prstGeom prst="rect">
                      <a:avLst/>
                    </a:prstGeom>
                  </pic:spPr>
                </pic:pic>
              </a:graphicData>
            </a:graphic>
          </wp:inline>
        </w:drawing>
      </w:r>
    </w:p>
    <w:p w14:paraId="6017F4EA" w14:textId="77777777" w:rsidR="00AD3BF9" w:rsidRDefault="00AD3BF9" w:rsidP="00AD3BF9">
      <w:pPr>
        <w:pStyle w:val="Heading2"/>
      </w:pPr>
      <w:r w:rsidRPr="00AD3BF9">
        <w:t>Question</w:t>
      </w:r>
      <w:r>
        <w:t xml:space="preserve"> 2. Is microbiome turnover coordinated among compartments?</w:t>
      </w:r>
    </w:p>
    <w:p w14:paraId="7A0AE563" w14:textId="77777777" w:rsidR="00682C5E" w:rsidRDefault="00AD3BF9" w:rsidP="00AD3BF9">
      <w:r>
        <w:t xml:space="preserve">We next tested whether pairs of plants that were more dissimilar in one microbiome compartment also tended to be more dissimilar in another while accounting for broad </w:t>
      </w:r>
      <w:proofErr w:type="spellStart"/>
      <w:r>
        <w:t>site</w:t>
      </w:r>
      <w:proofErr w:type="spellEnd"/>
      <w:r>
        <w:t xml:space="preserve"> effects. Significant positive coordination occurred only among biologically adjacent compartments (Fig. 2). Plants with more similar bulk-soil microbiomes also had more similar rhizosphere microbiomes, and rhizosphere similarity predicted root similarity. Likewise, leaf epiphyte and leaf endophyte microbiomes covaried strongly, and fruit epiphytes and fruit endophytes also exhibited positive coordination. In contrast, no significant relationships linked belowground and leaf microbiomes, belowground and fruit microbiomes, or leaf and fruit microbiomes after correcting for multiple testing. Thus, microbiome turnover appears coordinated within organ-specific pathways but not across major plant organs.</w:t>
      </w:r>
    </w:p>
    <w:p w14:paraId="506A3928" w14:textId="77777777" w:rsidR="00682C5E" w:rsidRDefault="00682C5E" w:rsidP="00AD3BF9"/>
    <w:p w14:paraId="121BADB8" w14:textId="0F0F1375" w:rsidR="00AD3BF9" w:rsidRDefault="00682C5E" w:rsidP="00AD3BF9">
      <w:r>
        <w:rPr>
          <w:noProof/>
        </w:rPr>
        <w:lastRenderedPageBreak/>
        <w:drawing>
          <wp:inline distT="0" distB="0" distL="0" distR="0" wp14:anchorId="52997D2D" wp14:editId="1C5B3F44">
            <wp:extent cx="6126480" cy="5615940"/>
            <wp:effectExtent l="0" t="0" r="0" b="0"/>
            <wp:docPr id="102445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7395" name="Picture 1024457395"/>
                    <pic:cNvPicPr/>
                  </pic:nvPicPr>
                  <pic:blipFill>
                    <a:blip r:embed="rId9"/>
                    <a:stretch>
                      <a:fillRect/>
                    </a:stretch>
                  </pic:blipFill>
                  <pic:spPr>
                    <a:xfrm>
                      <a:off x="0" y="0"/>
                      <a:ext cx="6126480" cy="5615940"/>
                    </a:xfrm>
                    <a:prstGeom prst="rect">
                      <a:avLst/>
                    </a:prstGeom>
                  </pic:spPr>
                </pic:pic>
              </a:graphicData>
            </a:graphic>
          </wp:inline>
        </w:drawing>
      </w:r>
    </w:p>
    <w:p w14:paraId="4AE43739" w14:textId="77777777" w:rsidR="00AD3BF9" w:rsidRDefault="00AD3BF9" w:rsidP="00AD3BF9">
      <w:pPr>
        <w:pStyle w:val="Heading2"/>
      </w:pPr>
      <w:r>
        <w:t>Question 3. Does the strength of site-associated similarity differ among compartments?</w:t>
      </w:r>
    </w:p>
    <w:p w14:paraId="1EAFF3CF" w14:textId="77777777" w:rsidR="00682C5E" w:rsidRDefault="00AD3BF9" w:rsidP="00AD3BF9">
      <w:r>
        <w:t>All compartments tended to show lower Bray–</w:t>
      </w:r>
      <w:proofErr w:type="gramStart"/>
      <w:r>
        <w:t>Curtis</w:t>
      </w:r>
      <w:proofErr w:type="gramEnd"/>
      <w:r>
        <w:t xml:space="preserve"> dissimilarity among plants collected from the same site than among plants collected from different sites. However, the magnitude of this site effect differed significantly among compartments (likelihood-ratio test: χ² = 30.36, </w:t>
      </w:r>
      <w:proofErr w:type="spellStart"/>
      <w:r>
        <w:t>df</w:t>
      </w:r>
      <w:proofErr w:type="spellEnd"/>
      <w:r>
        <w:t xml:space="preserve"> = 6, P = 3.36 × 10⁻⁵). Estimated among-site minus within-site differences were largest for leaf epiphytes, leaf endophytes, rhizosphere soil, and bulk soil, intermediate for roots, and smallest for both fruit microbiomes. Pairwise comparisons confirmed that both fruit compartments exhibited significantly weaker site structuring than leaf epiphytes and weaker trends than several belowground compartments after Benjamini–Hochberg correction. These results indicate that while leaves and belowground tissues maintain strong site-associated community similarity, fruit microbiomes </w:t>
      </w:r>
      <w:r>
        <w:lastRenderedPageBreak/>
        <w:t>remain comparatively variable regardless of whether fruits originate from the same or different sites.</w:t>
      </w:r>
    </w:p>
    <w:p w14:paraId="43809A89" w14:textId="77777777" w:rsidR="00682C5E" w:rsidRDefault="00682C5E" w:rsidP="00AD3BF9"/>
    <w:p w14:paraId="43694CEE" w14:textId="77777777" w:rsidR="00682C5E" w:rsidRDefault="00682C5E" w:rsidP="00AD3BF9"/>
    <w:p w14:paraId="0C3BD11E" w14:textId="4A393B5B" w:rsidR="00682C5E" w:rsidRDefault="00682C5E" w:rsidP="00AD3BF9">
      <w:r>
        <w:rPr>
          <w:noProof/>
        </w:rPr>
        <w:drawing>
          <wp:inline distT="0" distB="0" distL="0" distR="0" wp14:anchorId="10A6EA67" wp14:editId="5CB67BF6">
            <wp:extent cx="6126480" cy="4288790"/>
            <wp:effectExtent l="0" t="0" r="0" b="3810"/>
            <wp:docPr id="1181364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4619" name="Picture 1181364619"/>
                    <pic:cNvPicPr/>
                  </pic:nvPicPr>
                  <pic:blipFill>
                    <a:blip r:embed="rId10"/>
                    <a:stretch>
                      <a:fillRect/>
                    </a:stretch>
                  </pic:blipFill>
                  <pic:spPr>
                    <a:xfrm>
                      <a:off x="0" y="0"/>
                      <a:ext cx="6126480" cy="4288790"/>
                    </a:xfrm>
                    <a:prstGeom prst="rect">
                      <a:avLst/>
                    </a:prstGeom>
                  </pic:spPr>
                </pic:pic>
              </a:graphicData>
            </a:graphic>
          </wp:inline>
        </w:drawing>
      </w:r>
    </w:p>
    <w:p w14:paraId="30275535" w14:textId="39B913DD" w:rsidR="00AD3BF9" w:rsidRDefault="00682C5E" w:rsidP="00AD3BF9">
      <w:r>
        <w:rPr>
          <w:noProof/>
        </w:rPr>
        <w:lastRenderedPageBreak/>
        <w:drawing>
          <wp:inline distT="0" distB="0" distL="0" distR="0" wp14:anchorId="7B2A47D8" wp14:editId="79A5FE8E">
            <wp:extent cx="6126480" cy="4084320"/>
            <wp:effectExtent l="0" t="0" r="0" b="5080"/>
            <wp:docPr id="1809879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79579" name="Picture 1809879579"/>
                    <pic:cNvPicPr/>
                  </pic:nvPicPr>
                  <pic:blipFill>
                    <a:blip r:embed="rId11"/>
                    <a:stretch>
                      <a:fillRect/>
                    </a:stretch>
                  </pic:blipFill>
                  <pic:spPr>
                    <a:xfrm>
                      <a:off x="0" y="0"/>
                      <a:ext cx="6126480" cy="4084320"/>
                    </a:xfrm>
                    <a:prstGeom prst="rect">
                      <a:avLst/>
                    </a:prstGeom>
                  </pic:spPr>
                </pic:pic>
              </a:graphicData>
            </a:graphic>
          </wp:inline>
        </w:drawing>
      </w:r>
    </w:p>
    <w:p w14:paraId="27F63ED2" w14:textId="77777777" w:rsidR="00682C5E" w:rsidRDefault="00682C5E" w:rsidP="00AD3BF9">
      <w:pPr>
        <w:pStyle w:val="Heading2"/>
      </w:pPr>
    </w:p>
    <w:p w14:paraId="6FFCA160" w14:textId="5FBE70B2" w:rsidR="00AD3BF9" w:rsidRDefault="00AD3BF9" w:rsidP="00AD3BF9">
      <w:pPr>
        <w:pStyle w:val="Heading2"/>
      </w:pPr>
      <w:r>
        <w:t>Sensitivity analysis</w:t>
      </w:r>
    </w:p>
    <w:p w14:paraId="49C7D8E2" w14:textId="77777777" w:rsidR="00AD3BF9" w:rsidRDefault="00AD3BF9" w:rsidP="00AD3BF9">
      <w:r>
        <w:t>We repeated all analyses using only the 36 plants represented in every microbiome compartment. Restricting the dataset to complete plants produced qualitatively identical conclusions. Site effects remained strongest in soils and leaves and weakest in fruits, compartment coordination remained restricted to biologically adjacent tissues, and the relative weakness of fruit site structuring was preserved. These analyses indicate that the primary conclusions are robust to incomplete sampling across compartments.</w:t>
      </w:r>
    </w:p>
    <w:p w14:paraId="1D8D189C" w14:textId="7D81DA45" w:rsidR="00DC2137" w:rsidRDefault="00DC2137" w:rsidP="001C3B10"/>
    <w:sectPr w:rsidR="00DC2137" w:rsidSect="00034616">
      <w:headerReference w:type="default" r:id="rId12"/>
      <w:footerReference w:type="even" r:id="rId13"/>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ECA0" w14:textId="77777777" w:rsidR="00695B44" w:rsidRDefault="00695B44" w:rsidP="002903A7">
      <w:pPr>
        <w:spacing w:after="0" w:line="240" w:lineRule="auto"/>
      </w:pPr>
      <w:r>
        <w:separator/>
      </w:r>
    </w:p>
  </w:endnote>
  <w:endnote w:type="continuationSeparator" w:id="0">
    <w:p w14:paraId="13854AEF" w14:textId="77777777" w:rsidR="00695B44" w:rsidRDefault="00695B44" w:rsidP="00290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884562"/>
      <w:docPartObj>
        <w:docPartGallery w:val="Page Numbers (Bottom of Page)"/>
        <w:docPartUnique/>
      </w:docPartObj>
    </w:sdtPr>
    <w:sdtContent>
      <w:p w14:paraId="2FFC726A" w14:textId="516AD1AE" w:rsidR="002903A7" w:rsidRDefault="002903A7" w:rsidP="00864A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A57086" w14:textId="77777777" w:rsidR="002903A7" w:rsidRDefault="002903A7" w:rsidP="002903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4854067"/>
      <w:docPartObj>
        <w:docPartGallery w:val="Page Numbers (Bottom of Page)"/>
        <w:docPartUnique/>
      </w:docPartObj>
    </w:sdtPr>
    <w:sdtContent>
      <w:p w14:paraId="279DDBB1" w14:textId="457467D0" w:rsidR="002903A7" w:rsidRDefault="002903A7" w:rsidP="00864A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1676EA" w14:textId="01A86DC6" w:rsidR="002903A7" w:rsidRDefault="002903A7" w:rsidP="002903A7">
    <w:pPr>
      <w:pStyle w:val="Footer"/>
      <w:ind w:right="360"/>
    </w:pPr>
    <w:r>
      <w:tab/>
    </w:r>
    <w:r>
      <w:tab/>
      <w:t xml:space="preserve">Stats Methods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2AF5D" w14:textId="77777777" w:rsidR="00695B44" w:rsidRDefault="00695B44" w:rsidP="002903A7">
      <w:pPr>
        <w:spacing w:after="0" w:line="240" w:lineRule="auto"/>
      </w:pPr>
      <w:r>
        <w:separator/>
      </w:r>
    </w:p>
  </w:footnote>
  <w:footnote w:type="continuationSeparator" w:id="0">
    <w:p w14:paraId="04EB5E06" w14:textId="77777777" w:rsidR="00695B44" w:rsidRDefault="00695B44" w:rsidP="00290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CB75" w14:textId="5D5A2C80" w:rsidR="002903A7" w:rsidRDefault="002903A7" w:rsidP="002903A7">
    <w:proofErr w:type="spellStart"/>
    <w:r w:rsidRPr="001C3B10">
      <w:t>Dicerandra</w:t>
    </w:r>
    <w:proofErr w:type="spellEnd"/>
    <w:r w:rsidRPr="001C3B10">
      <w:t xml:space="preserve"> whole-plant microbiome project</w:t>
    </w:r>
    <w:r w:rsidR="00320A66">
      <w:t xml:space="preserve"> </w:t>
    </w:r>
  </w:p>
  <w:p w14:paraId="0A00B2BD" w14:textId="753E96E0" w:rsidR="00320A66" w:rsidRDefault="00320A66" w:rsidP="002903A7">
    <w:r>
      <w:t>Last Edited 16 July 2026</w:t>
    </w:r>
  </w:p>
  <w:p w14:paraId="78E4DEB3" w14:textId="77777777" w:rsidR="002903A7" w:rsidRDefault="002903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7221">
    <w:abstractNumId w:val="8"/>
  </w:num>
  <w:num w:numId="2" w16cid:durableId="713768830">
    <w:abstractNumId w:val="6"/>
  </w:num>
  <w:num w:numId="3" w16cid:durableId="429545168">
    <w:abstractNumId w:val="5"/>
  </w:num>
  <w:num w:numId="4" w16cid:durableId="1260993128">
    <w:abstractNumId w:val="4"/>
  </w:num>
  <w:num w:numId="5" w16cid:durableId="194738486">
    <w:abstractNumId w:val="7"/>
  </w:num>
  <w:num w:numId="6" w16cid:durableId="470949992">
    <w:abstractNumId w:val="3"/>
  </w:num>
  <w:num w:numId="7" w16cid:durableId="86655435">
    <w:abstractNumId w:val="2"/>
  </w:num>
  <w:num w:numId="8" w16cid:durableId="767428281">
    <w:abstractNumId w:val="1"/>
  </w:num>
  <w:num w:numId="9" w16cid:durableId="174413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B10"/>
    <w:rsid w:val="002903A7"/>
    <w:rsid w:val="0029639D"/>
    <w:rsid w:val="00320A66"/>
    <w:rsid w:val="00326F90"/>
    <w:rsid w:val="003D2D52"/>
    <w:rsid w:val="006353DA"/>
    <w:rsid w:val="00682C5E"/>
    <w:rsid w:val="00695B44"/>
    <w:rsid w:val="00AA1D8D"/>
    <w:rsid w:val="00AD3BF9"/>
    <w:rsid w:val="00B47730"/>
    <w:rsid w:val="00CB0664"/>
    <w:rsid w:val="00DC2137"/>
    <w:rsid w:val="00FC693F"/>
    <w:rsid w:val="00FF04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3DC33"/>
  <w14:defaultImageDpi w14:val="300"/>
  <w15:docId w15:val="{346DA45C-9D2E-A84E-ABAB-82334E54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B10"/>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1C3B10"/>
    <w:pPr>
      <w:keepNext/>
      <w:keepLines/>
      <w:spacing w:before="480" w:after="0"/>
      <w:outlineLvl w:val="0"/>
    </w:pPr>
    <w:rPr>
      <w:rFonts w:eastAsiaTheme="majorEastAsia"/>
      <w:b/>
      <w:bCs/>
      <w:color w:val="000000" w:themeColor="text1"/>
    </w:rPr>
  </w:style>
  <w:style w:type="paragraph" w:styleId="Heading2">
    <w:name w:val="heading 2"/>
    <w:basedOn w:val="Heading1"/>
    <w:next w:val="Normal"/>
    <w:link w:val="Heading2Char"/>
    <w:uiPriority w:val="9"/>
    <w:unhideWhenUsed/>
    <w:qFormat/>
    <w:rsid w:val="00AD3BF9"/>
    <w:pPr>
      <w:spacing w:before="200"/>
      <w:outlineLvl w:val="1"/>
    </w:pPr>
    <w:rPr>
      <w:b w:val="0"/>
      <w:bCs w:val="0"/>
      <w:i/>
      <w:iC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C3B10"/>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AD3BF9"/>
    <w:rPr>
      <w:rFonts w:ascii="Times New Roman" w:eastAsiaTheme="majorEastAsia" w:hAnsi="Times New Roman" w:cs="Times New Roman"/>
      <w:i/>
      <w:iCs/>
      <w:color w:val="000000" w:themeColor="tex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C3B10"/>
    <w:pPr>
      <w:spacing w:before="100" w:beforeAutospacing="1" w:after="100" w:afterAutospacing="1" w:line="240" w:lineRule="auto"/>
      <w:jc w:val="left"/>
    </w:pPr>
    <w:rPr>
      <w:rFonts w:eastAsia="Times New Roman"/>
    </w:rPr>
  </w:style>
  <w:style w:type="character" w:styleId="HTMLCode">
    <w:name w:val="HTML Code"/>
    <w:basedOn w:val="DefaultParagraphFont"/>
    <w:uiPriority w:val="99"/>
    <w:semiHidden/>
    <w:unhideWhenUsed/>
    <w:rsid w:val="001C3B10"/>
    <w:rPr>
      <w:rFonts w:ascii="Courier New" w:eastAsia="Times New Roman" w:hAnsi="Courier New" w:cs="Courier New"/>
      <w:sz w:val="20"/>
      <w:szCs w:val="20"/>
    </w:rPr>
  </w:style>
  <w:style w:type="paragraph" w:customStyle="1" w:styleId="p2">
    <w:name w:val="p2"/>
    <w:basedOn w:val="Normal"/>
    <w:rsid w:val="001C3B10"/>
    <w:pPr>
      <w:spacing w:before="100" w:beforeAutospacing="1" w:after="100" w:afterAutospacing="1" w:line="240" w:lineRule="auto"/>
      <w:jc w:val="left"/>
    </w:pPr>
    <w:rPr>
      <w:rFonts w:eastAsia="Times New Roman"/>
    </w:rPr>
  </w:style>
  <w:style w:type="paragraph" w:customStyle="1" w:styleId="p3">
    <w:name w:val="p3"/>
    <w:basedOn w:val="Normal"/>
    <w:rsid w:val="001C3B10"/>
    <w:pPr>
      <w:spacing w:before="100" w:beforeAutospacing="1" w:after="100" w:afterAutospacing="1" w:line="240" w:lineRule="auto"/>
      <w:jc w:val="left"/>
    </w:pPr>
    <w:rPr>
      <w:rFonts w:eastAsia="Times New Roman"/>
    </w:rPr>
  </w:style>
  <w:style w:type="character" w:customStyle="1" w:styleId="s1">
    <w:name w:val="s1"/>
    <w:basedOn w:val="DefaultParagraphFont"/>
    <w:rsid w:val="001C3B10"/>
  </w:style>
  <w:style w:type="character" w:styleId="PageNumber">
    <w:name w:val="page number"/>
    <w:basedOn w:val="DefaultParagraphFont"/>
    <w:uiPriority w:val="99"/>
    <w:semiHidden/>
    <w:unhideWhenUsed/>
    <w:rsid w:val="00290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Francis</cp:lastModifiedBy>
  <cp:revision>6</cp:revision>
  <dcterms:created xsi:type="dcterms:W3CDTF">2013-12-23T23:15:00Z</dcterms:created>
  <dcterms:modified xsi:type="dcterms:W3CDTF">2026-07-16T07:38:00Z</dcterms:modified>
  <cp:category/>
</cp:coreProperties>
</file>