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Methods</w:t>
      </w:r>
    </w:p>
    <w:p>
      <w:pPr>
        <w:pStyle w:val="Heading2"/>
      </w:pPr>
      <w:r>
        <w:t>Overview</w:t>
      </w:r>
    </w:p>
    <w:p>
      <w:r>
        <w:t>To address our biological questions, we first quantified the extent to which microbiome composition varied among sites within each compartment. We then asked whether microbiome turnover was coordinated among compartments after accounting for shared site effects. Finally, we tested whether the strength of site-associated similarity differed among compartments.</w:t>
      </w:r>
    </w:p>
    <w:p>
      <w:pPr>
        <w:pStyle w:val="Heading2"/>
      </w:pPr>
      <w:r>
        <w:t>Sequence processing and data preparation</w:t>
      </w:r>
    </w:p>
    <w:p>
      <w:r>
        <w:t>We conducted all analyses in R using the tidyverse, vegan, lme4, lmerTest, broom.mixed, emmeans, and ggdist packages. We joined full-length 16S and 799F EMU abundance tables by taxonomic identifier (tax_id), reconciled duplicated annotations across markers, and collapsed features to genus by summing abundances across taxonomic identifiers. Features lacking genus assignments were retained as unique unclassified taxa identified by tax_id. We matched sample identifiers to the metadata and assigned each sample to one of seven microbiome compartments: bulk soil (&gt;1 m from the focal plant), rhizosphere soil, root, leaf endophyte, leaf epiphyte, fruit endophyte, or fruit epiphyte. For the primary analysis, we restricted the dataset to the five sites represented in all seven compartments so that every compartment was evaluated across the same spatial extent. We excluded samples with zero total abundance where required and removed taxa absent from all samples within each analytical subset.</w:t>
      </w:r>
    </w:p>
    <w:p>
      <w:pPr>
        <w:pStyle w:val="Heading2"/>
      </w:pPr>
      <w:r>
        <w:t>Bray–Curtis dissimilarities</w:t>
      </w:r>
    </w:p>
    <w:p>
      <w:r>
        <w:t>We calculated Bray–Curtis dissimilarities separately for each compartment using vegan::vegdist. We generated all possible pairwise comparisons among sampled plants within each compartment, annotated every dyad with the identities and sites of both plants, and recorded whether the two plants originated from the same site. We then merged the compartment-specific distance tables into a single plant-pair-by-compartment dataset. We retained missing values during data assembly and removed them separately for each analysis so that every comparison used all available dyads for the two focal compartments.</w:t>
      </w:r>
    </w:p>
    <w:p>
      <w:pPr>
        <w:pStyle w:val="Heading2"/>
      </w:pPr>
      <w:r>
        <w:t>Question 1. Does microbiome composition vary among sites?</w:t>
      </w:r>
    </w:p>
    <w:p>
      <w:r>
        <w:t>We quantified spatial structuring within each compartment using separate permutational multivariate analyses of variance (PERMANOVA) with site as the predictor and Bray–Curtis dissimilarity as the response. We fit models using vegan::adonis2 with 9,999 permutations and interpreted PERMANOVA R² as the proportion of community variation explained by site. Because we conducted one PERMANOVA for each compartment, we adjusted P values using the Benjamini–Hochberg false-discovery-rate procedure to control the expected proportion of false positives across the family of tests while maintaining greater statistical power than more conservative corrections. Because PERMANOVA can be influenced by differences in within-group dispersion as well as differences in group centroids, we also tested homogeneity of multivariate dispersion within each compartment using vegan::betadisper with bias adjustment followed by vegan::permutest (9,999 permutations). We adjusted dispersion-test P values using the Benjamini–Hochberg procedure.</w:t>
      </w:r>
    </w:p>
    <w:p>
      <w:pPr>
        <w:pStyle w:val="Heading2"/>
      </w:pPr>
      <w:r>
        <w:t>Question 2. Is microbiome turnover coordinated among compartments?</w:t>
      </w:r>
    </w:p>
    <w:p>
      <w:r>
        <w:t>We next tested whether plant pairs that were more dissimilar in one microbiome compartment also tended to be more dissimilar in another after accounting for broad site-associated turnover. We analyzed each of the 21 unique compartment pairs using a linear mixed-effects model. For each model, we standardized both predictor and response Bray–Curtis dissimilarities to mean zero and unit variance. Models included standardized predictor dissimilarity and same-site status as fixed effects together with random intercepts for both sampled sites and both sampled plants. The same-site effect accounted for the average difference between within-site and among-site plant pairs, allowing the standardized predictor coefficient to quantify coordination between compartments beyond simple spatial structure. We fit models by maximum likelihood using lme4::lmer with the bobyqa optimizer (200,000 maximum function evaluations). We extracted 95% confidence intervals and fixed-effect tests using broom.mixed and lmerTest and adjusted the resulting P values across the 21 compartment pairs using the Benjamini–Hochberg procedure.</w:t>
      </w:r>
    </w:p>
    <w:p>
      <w:pPr>
        <w:pStyle w:val="Heading2"/>
      </w:pPr>
      <w:r>
        <w:t>Question 3. Does the strength of site-associated similarity differ among compartments?</w:t>
      </w:r>
    </w:p>
    <w:p>
      <w:r>
        <w:t>We combined all compartment-specific dyads into a repeated-measures mixed model to test whether the contrast between within-site and among-site dissimilarity differed among microbiome compartments. We coded among-site status as 0 for within-site dyads and 1 for among-site dyads and compared an additive model with one containing a compartment × among-site interaction. This interaction directly tested our biological hypothesis that some compartments exhibit stronger spatial structuring than others. Models included random intercepts for both sites, both plants, and plant-pair identity to account for repeated observations of the same plants and dyads across compartments. We fit models by maximum likelihood using the bobyqa optimizer and evaluated the interaction using a likelihood-ratio test. We estimated compartment-specific among-site minus within-site differences using emmeans and used asymptotic Wald inference because the dyadic dataset exceeded the default threshold for finite-sample degrees-of-freedom approximations. We adjusted compartment-specific and pairwise-comparison P values using the Benjamini–Hochberg procedure.</w:t>
      </w:r>
    </w:p>
    <w:p>
      <w:pPr>
        <w:pStyle w:val="Heading2"/>
      </w:pPr>
      <w:r>
        <w:t>Sensitivity analysis</w:t>
      </w:r>
    </w:p>
    <w:p>
      <w:r>
        <w:t>We repeated the complete analytical workflow using only the 36 plants represented in every microbiome compartment to evaluate whether missing compartment samples influenced our conclusions.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