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33918" w14:textId="77777777" w:rsidR="00266D05" w:rsidRDefault="00266D05" w:rsidP="00266D05">
      <w:pPr>
        <w:pStyle w:val="Heading1"/>
        <w:jc w:val="center"/>
      </w:pPr>
      <w:r>
        <w:t>Class 5 – Key Terms</w:t>
      </w:r>
    </w:p>
    <w:p w14:paraId="50522EFA" w14:textId="77777777" w:rsidR="00266D05" w:rsidRDefault="00266D05" w:rsidP="00266D05"/>
    <w:p w14:paraId="7BE0FDD1" w14:textId="77777777" w:rsidR="00266D05" w:rsidRDefault="00266D05" w:rsidP="00266D05">
      <w:r>
        <w:t>Lease</w:t>
      </w:r>
      <w:r w:rsidR="002F1745">
        <w:t xml:space="preserve"> – </w:t>
      </w:r>
    </w:p>
    <w:p w14:paraId="01762255" w14:textId="77777777" w:rsidR="002F1745" w:rsidRDefault="002F1745" w:rsidP="00266D05"/>
    <w:p w14:paraId="2C0FBD78" w14:textId="77777777" w:rsidR="00266D05" w:rsidRDefault="00266D05" w:rsidP="00266D05">
      <w:r>
        <w:t>Right to possession, use, enjoyment</w:t>
      </w:r>
      <w:r w:rsidR="002F1745">
        <w:t xml:space="preserve"> – </w:t>
      </w:r>
    </w:p>
    <w:p w14:paraId="72E46CF9" w14:textId="77777777" w:rsidR="002F1745" w:rsidRDefault="002F1745" w:rsidP="00266D05"/>
    <w:p w14:paraId="403583A1" w14:textId="75ACF563" w:rsidR="00266D05" w:rsidRDefault="00266D05" w:rsidP="00266D05">
      <w:r w:rsidRPr="00520402">
        <w:rPr>
          <w:b/>
        </w:rPr>
        <w:t>Lessor</w:t>
      </w:r>
      <w:r w:rsidR="00791078">
        <w:t xml:space="preserve"> </w:t>
      </w:r>
      <w:r w:rsidR="002F1745">
        <w:t xml:space="preserve">– </w:t>
      </w:r>
      <w:r w:rsidR="00791078">
        <w:t>Owner of the property.</w:t>
      </w:r>
    </w:p>
    <w:p w14:paraId="6007A0C3" w14:textId="77777777" w:rsidR="002F1745" w:rsidRDefault="002F1745" w:rsidP="00266D05"/>
    <w:p w14:paraId="1FAF3A8C" w14:textId="2F6EC61E" w:rsidR="00266D05" w:rsidRDefault="00266D05" w:rsidP="00266D05">
      <w:r w:rsidRPr="00520402">
        <w:rPr>
          <w:b/>
        </w:rPr>
        <w:t>Lessee</w:t>
      </w:r>
      <w:r w:rsidR="00520402">
        <w:t xml:space="preserve"> – Tenant of the property, not the owner.</w:t>
      </w:r>
      <w:r w:rsidR="002F1745">
        <w:t xml:space="preserve"> </w:t>
      </w:r>
    </w:p>
    <w:p w14:paraId="2065E14E" w14:textId="77777777" w:rsidR="002F1745" w:rsidRDefault="002F1745" w:rsidP="00266D05"/>
    <w:p w14:paraId="7F813C02" w14:textId="6AA8A320" w:rsidR="00266D05" w:rsidRDefault="00266D05" w:rsidP="00266D05">
      <w:r>
        <w:t>Why is most business real estate leased?</w:t>
      </w:r>
    </w:p>
    <w:p w14:paraId="6286F051" w14:textId="532087CE" w:rsidR="0005297A" w:rsidRDefault="0005297A" w:rsidP="0005297A">
      <w:pPr>
        <w:pStyle w:val="ListParagraph"/>
        <w:numPr>
          <w:ilvl w:val="0"/>
          <w:numId w:val="1"/>
        </w:numPr>
      </w:pPr>
      <w:r>
        <w:t>More cost-effective than owning</w:t>
      </w:r>
    </w:p>
    <w:p w14:paraId="6DBE50A1" w14:textId="489893C9" w:rsidR="0005297A" w:rsidRDefault="0005297A" w:rsidP="0005297A">
      <w:pPr>
        <w:pStyle w:val="ListParagraph"/>
        <w:numPr>
          <w:ilvl w:val="1"/>
          <w:numId w:val="1"/>
        </w:numPr>
      </w:pPr>
      <w:r>
        <w:t>Owning would require a large commitment of capital to purchase.</w:t>
      </w:r>
    </w:p>
    <w:p w14:paraId="0624B0A0" w14:textId="24D375DE" w:rsidR="0005297A" w:rsidRDefault="0005297A" w:rsidP="0005297A">
      <w:pPr>
        <w:pStyle w:val="ListParagraph"/>
        <w:numPr>
          <w:ilvl w:val="1"/>
          <w:numId w:val="1"/>
        </w:numPr>
      </w:pPr>
      <w:r>
        <w:t>A purchase would “put the user in the real estate business</w:t>
      </w:r>
      <w:r w:rsidR="00DA1AFE">
        <w:t>,” That is, the tenant would have to take the risk of owning and also have the real estate business “know how” to lease, collect rent, maintain, and insure the property.</w:t>
      </w:r>
    </w:p>
    <w:p w14:paraId="69B6A0E5" w14:textId="3094BDE4" w:rsidR="00345AB0" w:rsidRDefault="00345AB0" w:rsidP="00345AB0">
      <w:pPr>
        <w:pStyle w:val="ListParagraph"/>
        <w:numPr>
          <w:ilvl w:val="0"/>
          <w:numId w:val="1"/>
        </w:numPr>
      </w:pPr>
      <w:r>
        <w:t>Owning would reduce operating flexibility.</w:t>
      </w:r>
    </w:p>
    <w:p w14:paraId="1E474E54" w14:textId="55459158" w:rsidR="00345AB0" w:rsidRDefault="00345AB0" w:rsidP="00345AB0">
      <w:pPr>
        <w:pStyle w:val="ListParagraph"/>
        <w:numPr>
          <w:ilvl w:val="0"/>
          <w:numId w:val="1"/>
        </w:numPr>
      </w:pPr>
      <w:r>
        <w:t>Removes focus from its core business activities by having to maintain the property, etc.</w:t>
      </w:r>
    </w:p>
    <w:p w14:paraId="1BE80E4B" w14:textId="77777777" w:rsidR="002F1745" w:rsidRDefault="002F1745" w:rsidP="00266D05"/>
    <w:p w14:paraId="30790693" w14:textId="77777777" w:rsidR="00266D05" w:rsidRDefault="00266D05" w:rsidP="00266D05">
      <w:r>
        <w:t xml:space="preserve">Residential v. Commercial </w:t>
      </w:r>
      <w:r w:rsidR="002F1745">
        <w:t xml:space="preserve"> - </w:t>
      </w:r>
    </w:p>
    <w:p w14:paraId="2DFDF924" w14:textId="77777777" w:rsidR="002F1745" w:rsidRDefault="002F1745" w:rsidP="00266D05"/>
    <w:p w14:paraId="034B955A" w14:textId="77777777" w:rsidR="00266D05" w:rsidRPr="004776F7" w:rsidRDefault="002F1745" w:rsidP="00266D05">
      <w:pPr>
        <w:rPr>
          <w:b/>
        </w:rPr>
      </w:pPr>
      <w:r w:rsidRPr="004776F7">
        <w:rPr>
          <w:b/>
        </w:rPr>
        <w:t>Elements of a Typical Lease:</w:t>
      </w:r>
    </w:p>
    <w:p w14:paraId="05AD44D0" w14:textId="48A3C47C" w:rsidR="00266D05" w:rsidRDefault="00266D05" w:rsidP="00800A01">
      <w:pPr>
        <w:spacing w:line="276" w:lineRule="auto"/>
        <w:ind w:left="720"/>
      </w:pPr>
      <w:proofErr w:type="gramStart"/>
      <w:r w:rsidRPr="004776F7">
        <w:rPr>
          <w:b/>
        </w:rPr>
        <w:t>Parties</w:t>
      </w:r>
      <w:r w:rsidR="002F1745">
        <w:t xml:space="preserve"> </w:t>
      </w:r>
      <w:r w:rsidR="004776F7">
        <w:t>–</w:t>
      </w:r>
      <w:r w:rsidR="002F1745">
        <w:t xml:space="preserve"> </w:t>
      </w:r>
      <w:r w:rsidR="004776F7">
        <w:t>Namely the lessor and lessee.</w:t>
      </w:r>
      <w:proofErr w:type="gramEnd"/>
      <w:r w:rsidR="004776F7">
        <w:t xml:space="preserve"> </w:t>
      </w:r>
      <w:proofErr w:type="gramStart"/>
      <w:r w:rsidR="004776F7">
        <w:t>The date of the lease agreement, occupancy date, identification of area to be leased, and the length of the lease term.</w:t>
      </w:r>
      <w:proofErr w:type="gramEnd"/>
      <w:r w:rsidR="004776F7">
        <w:t xml:space="preserve"> </w:t>
      </w:r>
    </w:p>
    <w:p w14:paraId="63358BFF" w14:textId="4DB5A0DD" w:rsidR="00266D05" w:rsidRDefault="00266D05" w:rsidP="00800A01">
      <w:pPr>
        <w:spacing w:line="276" w:lineRule="auto"/>
        <w:ind w:left="720"/>
      </w:pPr>
      <w:r w:rsidRPr="003677DF">
        <w:rPr>
          <w:b/>
        </w:rPr>
        <w:t>Rent</w:t>
      </w:r>
      <w:r w:rsidR="002F1745">
        <w:t xml:space="preserve"> </w:t>
      </w:r>
      <w:r w:rsidR="00913E61">
        <w:t>–</w:t>
      </w:r>
      <w:r w:rsidR="002F1745">
        <w:t xml:space="preserve"> </w:t>
      </w:r>
      <w:r w:rsidR="00913E61">
        <w:t xml:space="preserve">The base or minimum rent and any methods that will be used to calculate and adjust future rent. </w:t>
      </w:r>
      <w:proofErr w:type="gramStart"/>
      <w:r w:rsidR="003677DF">
        <w:t>Description of any concessions and other inducements to be provided to the tenant by the landlord.</w:t>
      </w:r>
      <w:proofErr w:type="gramEnd"/>
      <w:r w:rsidR="003677DF">
        <w:t xml:space="preserve"> </w:t>
      </w:r>
    </w:p>
    <w:p w14:paraId="18489B75" w14:textId="4BE913A1" w:rsidR="00266D05" w:rsidRDefault="002F1745" w:rsidP="00800A01">
      <w:pPr>
        <w:spacing w:line="276" w:lineRule="auto"/>
        <w:ind w:left="720"/>
      </w:pPr>
      <w:r w:rsidRPr="003677DF">
        <w:rPr>
          <w:b/>
        </w:rPr>
        <w:t>Security D</w:t>
      </w:r>
      <w:r w:rsidR="00266D05" w:rsidRPr="003677DF">
        <w:rPr>
          <w:b/>
        </w:rPr>
        <w:t>eposit</w:t>
      </w:r>
      <w:r>
        <w:t xml:space="preserve"> </w:t>
      </w:r>
      <w:r w:rsidR="003677DF">
        <w:t>–</w:t>
      </w:r>
      <w:r>
        <w:t xml:space="preserve"> </w:t>
      </w:r>
      <w:r w:rsidR="003677DF">
        <w:t xml:space="preserve">Deposits and any indemnities and guarantees from third parties or co-signers. </w:t>
      </w:r>
    </w:p>
    <w:p w14:paraId="34809C4A" w14:textId="47A2DD0E" w:rsidR="00266D05" w:rsidRDefault="002F1745" w:rsidP="00800A01">
      <w:pPr>
        <w:spacing w:line="276" w:lineRule="auto"/>
        <w:ind w:left="720"/>
      </w:pPr>
      <w:r w:rsidRPr="00B45978">
        <w:rPr>
          <w:b/>
        </w:rPr>
        <w:t>Condition of the Pr</w:t>
      </w:r>
      <w:r w:rsidR="00266D05" w:rsidRPr="00B45978">
        <w:rPr>
          <w:b/>
        </w:rPr>
        <w:t>operty</w:t>
      </w:r>
      <w:r>
        <w:t xml:space="preserve"> </w:t>
      </w:r>
      <w:r w:rsidR="00B45978">
        <w:t>–</w:t>
      </w:r>
      <w:r>
        <w:t xml:space="preserve"> </w:t>
      </w:r>
      <w:r w:rsidR="00B45978">
        <w:t xml:space="preserve">Condition of the leased premises to be provided to the occupant on the move-in date, including any tenant improvements. </w:t>
      </w:r>
    </w:p>
    <w:p w14:paraId="44F892FB" w14:textId="4E074C8F" w:rsidR="00266D05" w:rsidRDefault="002F1745" w:rsidP="00800A01">
      <w:pPr>
        <w:spacing w:line="276" w:lineRule="auto"/>
        <w:ind w:left="720"/>
      </w:pPr>
      <w:r w:rsidRPr="00527FA2">
        <w:rPr>
          <w:b/>
        </w:rPr>
        <w:t>Uses for the Pr</w:t>
      </w:r>
      <w:r w:rsidR="00266D05" w:rsidRPr="00527FA2">
        <w:rPr>
          <w:b/>
        </w:rPr>
        <w:t>operty</w:t>
      </w:r>
      <w:r>
        <w:t xml:space="preserve"> </w:t>
      </w:r>
      <w:r w:rsidR="00527FA2">
        <w:t>–</w:t>
      </w:r>
      <w:r>
        <w:t xml:space="preserve"> </w:t>
      </w:r>
      <w:r w:rsidR="00527FA2">
        <w:t xml:space="preserve">Allowable uses of the property, restrictions on occupancy, and prohibitions regarding future changes in the use of the property. </w:t>
      </w:r>
    </w:p>
    <w:p w14:paraId="0F2B87B2" w14:textId="0910E810" w:rsidR="00266D05" w:rsidRDefault="002F1745" w:rsidP="00800A01">
      <w:pPr>
        <w:spacing w:line="276" w:lineRule="auto"/>
        <w:ind w:left="720"/>
      </w:pPr>
      <w:r w:rsidRPr="007F2861">
        <w:rPr>
          <w:b/>
        </w:rPr>
        <w:t>Payment of E</w:t>
      </w:r>
      <w:r w:rsidR="00266D05" w:rsidRPr="007F2861">
        <w:rPr>
          <w:b/>
        </w:rPr>
        <w:t>xpenses</w:t>
      </w:r>
      <w:r>
        <w:t xml:space="preserve"> </w:t>
      </w:r>
      <w:r w:rsidR="007F2861">
        <w:t>–</w:t>
      </w:r>
      <w:r>
        <w:t xml:space="preserve"> </w:t>
      </w:r>
      <w:r w:rsidR="007F2861">
        <w:t xml:space="preserve">The responsibility for payment of specific expenses by the lessee and/or the lessor. </w:t>
      </w:r>
    </w:p>
    <w:p w14:paraId="14016958" w14:textId="68A366AE" w:rsidR="00266D05" w:rsidRDefault="002F1745" w:rsidP="00800A01">
      <w:pPr>
        <w:spacing w:line="276" w:lineRule="auto"/>
        <w:ind w:left="720"/>
      </w:pPr>
      <w:proofErr w:type="gramStart"/>
      <w:r w:rsidRPr="00FE4D4E">
        <w:rPr>
          <w:b/>
        </w:rPr>
        <w:t>Assignment / S</w:t>
      </w:r>
      <w:r w:rsidR="00266D05" w:rsidRPr="00FE4D4E">
        <w:rPr>
          <w:b/>
        </w:rPr>
        <w:t>ubletting</w:t>
      </w:r>
      <w:r>
        <w:t xml:space="preserve"> </w:t>
      </w:r>
      <w:r w:rsidR="00FE4D4E">
        <w:t>–</w:t>
      </w:r>
      <w:r>
        <w:t xml:space="preserve"> </w:t>
      </w:r>
      <w:r w:rsidR="00FE4D4E">
        <w:t>Any restrictions on assignment or subletting of any of the leased space by the tenant.</w:t>
      </w:r>
      <w:proofErr w:type="gramEnd"/>
    </w:p>
    <w:p w14:paraId="153318DB" w14:textId="5FA71C3E" w:rsidR="00266D05" w:rsidRDefault="002F1745" w:rsidP="00800A01">
      <w:pPr>
        <w:spacing w:line="276" w:lineRule="auto"/>
        <w:ind w:left="720"/>
      </w:pPr>
      <w:r w:rsidRPr="001B6259">
        <w:rPr>
          <w:b/>
        </w:rPr>
        <w:t>Common Area M</w:t>
      </w:r>
      <w:r w:rsidR="00266D05" w:rsidRPr="001B6259">
        <w:rPr>
          <w:b/>
        </w:rPr>
        <w:t>aintenance</w:t>
      </w:r>
      <w:r w:rsidRPr="001B6259">
        <w:rPr>
          <w:b/>
        </w:rPr>
        <w:t xml:space="preserve"> (CAM)</w:t>
      </w:r>
      <w:r>
        <w:t xml:space="preserve"> </w:t>
      </w:r>
      <w:r w:rsidR="001B6259">
        <w:t>–</w:t>
      </w:r>
      <w:r>
        <w:t xml:space="preserve"> </w:t>
      </w:r>
      <w:r w:rsidR="001B6259">
        <w:t xml:space="preserve">Responsibility for maintenance and repair of the tenant’s space and of the general premises. </w:t>
      </w:r>
    </w:p>
    <w:p w14:paraId="644D52C3" w14:textId="28F35A1B" w:rsidR="00266D05" w:rsidRDefault="002F1745" w:rsidP="00800A01">
      <w:pPr>
        <w:spacing w:line="276" w:lineRule="auto"/>
        <w:ind w:left="720"/>
      </w:pPr>
      <w:r w:rsidRPr="001B6259">
        <w:rPr>
          <w:b/>
        </w:rPr>
        <w:t>Alterations</w:t>
      </w:r>
      <w:r>
        <w:t xml:space="preserve"> </w:t>
      </w:r>
      <w:r w:rsidR="001B6259">
        <w:t>–</w:t>
      </w:r>
      <w:r>
        <w:t xml:space="preserve"> </w:t>
      </w:r>
      <w:r w:rsidR="001B6259">
        <w:t xml:space="preserve">Any restrictions on alterations or improvements to the property by the tenant. </w:t>
      </w:r>
    </w:p>
    <w:p w14:paraId="056CEE71" w14:textId="66D3D3DA" w:rsidR="00266D05" w:rsidRPr="002415DD" w:rsidRDefault="002F1745" w:rsidP="00800A01">
      <w:pPr>
        <w:spacing w:line="276" w:lineRule="auto"/>
        <w:rPr>
          <w:b/>
        </w:rPr>
      </w:pPr>
      <w:r>
        <w:lastRenderedPageBreak/>
        <w:tab/>
      </w:r>
      <w:r w:rsidRPr="002415DD">
        <w:rPr>
          <w:b/>
        </w:rPr>
        <w:t>Default / R</w:t>
      </w:r>
      <w:r w:rsidR="00266D05" w:rsidRPr="002415DD">
        <w:rPr>
          <w:b/>
        </w:rPr>
        <w:t>emedies</w:t>
      </w:r>
    </w:p>
    <w:p w14:paraId="3F04123C" w14:textId="67732D75" w:rsidR="00266D05" w:rsidRPr="002415DD" w:rsidRDefault="00266D05" w:rsidP="00800A01">
      <w:pPr>
        <w:spacing w:line="276" w:lineRule="auto"/>
        <w:rPr>
          <w:b/>
        </w:rPr>
      </w:pPr>
      <w:r>
        <w:tab/>
      </w:r>
      <w:r w:rsidRPr="002415DD">
        <w:rPr>
          <w:b/>
        </w:rPr>
        <w:t>Insurance</w:t>
      </w:r>
    </w:p>
    <w:p w14:paraId="1A3C4F95" w14:textId="28FB8309" w:rsidR="00266D05" w:rsidRPr="002415DD" w:rsidRDefault="002F1745" w:rsidP="00800A01">
      <w:pPr>
        <w:spacing w:line="276" w:lineRule="auto"/>
        <w:rPr>
          <w:b/>
        </w:rPr>
      </w:pPr>
      <w:r>
        <w:tab/>
      </w:r>
      <w:r w:rsidR="002415DD">
        <w:tab/>
      </w:r>
      <w:r w:rsidRPr="002415DD">
        <w:rPr>
          <w:b/>
        </w:rPr>
        <w:t>Renewal O</w:t>
      </w:r>
      <w:r w:rsidR="00266D05" w:rsidRPr="002415DD">
        <w:rPr>
          <w:b/>
        </w:rPr>
        <w:t>ptions</w:t>
      </w:r>
    </w:p>
    <w:p w14:paraId="16C5BB0F" w14:textId="568EF22B" w:rsidR="00266D05" w:rsidRPr="002415DD" w:rsidRDefault="00266D05" w:rsidP="00800A01">
      <w:pPr>
        <w:spacing w:line="276" w:lineRule="auto"/>
        <w:rPr>
          <w:b/>
        </w:rPr>
      </w:pPr>
      <w:r>
        <w:tab/>
      </w:r>
      <w:r w:rsidR="002415DD">
        <w:tab/>
      </w:r>
      <w:r w:rsidR="002415DD" w:rsidRPr="002415DD">
        <w:rPr>
          <w:b/>
        </w:rPr>
        <w:t>Guarantees</w:t>
      </w:r>
    </w:p>
    <w:p w14:paraId="3AA5DD35" w14:textId="77777777" w:rsidR="002F1745" w:rsidRDefault="002F1745" w:rsidP="00266D05"/>
    <w:p w14:paraId="0823FAEC" w14:textId="77777777" w:rsidR="00266D05" w:rsidRPr="000A08E2" w:rsidRDefault="002F1745" w:rsidP="00266D05">
      <w:pPr>
        <w:rPr>
          <w:b/>
        </w:rPr>
      </w:pPr>
      <w:r w:rsidRPr="000A08E2">
        <w:rPr>
          <w:b/>
        </w:rPr>
        <w:t>Types of Rent S</w:t>
      </w:r>
      <w:r w:rsidR="00266D05" w:rsidRPr="000A08E2">
        <w:rPr>
          <w:b/>
        </w:rPr>
        <w:t>tructure</w:t>
      </w:r>
    </w:p>
    <w:p w14:paraId="675DD9D8" w14:textId="6B14A3BF" w:rsidR="00266D05" w:rsidRDefault="002F1745" w:rsidP="00800A01">
      <w:pPr>
        <w:spacing w:line="276" w:lineRule="auto"/>
      </w:pPr>
      <w:r>
        <w:tab/>
      </w:r>
      <w:r w:rsidRPr="000A08E2">
        <w:rPr>
          <w:b/>
        </w:rPr>
        <w:t>Flat R</w:t>
      </w:r>
      <w:r w:rsidR="00266D05" w:rsidRPr="000A08E2">
        <w:rPr>
          <w:b/>
        </w:rPr>
        <w:t>ate</w:t>
      </w:r>
      <w:r>
        <w:t xml:space="preserve"> </w:t>
      </w:r>
      <w:r w:rsidR="00466C5D">
        <w:t>–</w:t>
      </w:r>
      <w:r>
        <w:t xml:space="preserve"> </w:t>
      </w:r>
      <w:r w:rsidR="00466C5D">
        <w:t xml:space="preserve">Rent maintains the same (or flat) for the term of the lease. </w:t>
      </w:r>
    </w:p>
    <w:p w14:paraId="167B1075" w14:textId="13C7181E" w:rsidR="00266D05" w:rsidRDefault="000A08E2" w:rsidP="00800A01">
      <w:pPr>
        <w:spacing w:line="276" w:lineRule="auto"/>
        <w:ind w:left="720"/>
      </w:pPr>
      <w:r>
        <w:rPr>
          <w:b/>
        </w:rPr>
        <w:t>Step-Up / Rent Escalation C</w:t>
      </w:r>
      <w:r w:rsidR="00266D05" w:rsidRPr="000A08E2">
        <w:rPr>
          <w:b/>
        </w:rPr>
        <w:t>lause</w:t>
      </w:r>
      <w:r w:rsidR="002F1745">
        <w:t xml:space="preserve"> </w:t>
      </w:r>
      <w:r w:rsidR="00B46594">
        <w:t>–</w:t>
      </w:r>
      <w:r w:rsidR="002F1745">
        <w:t xml:space="preserve"> </w:t>
      </w:r>
      <w:r w:rsidR="00B46594">
        <w:t xml:space="preserve">Provides that rent will increase at the end of a specified time interval and in specific amounts during the term of the lease. </w:t>
      </w:r>
    </w:p>
    <w:p w14:paraId="0A331BF1" w14:textId="06D77C45" w:rsidR="00266D05" w:rsidRDefault="00266D05" w:rsidP="00800A01">
      <w:pPr>
        <w:spacing w:line="276" w:lineRule="auto"/>
        <w:ind w:left="720"/>
      </w:pPr>
      <w:r w:rsidRPr="000A08E2">
        <w:rPr>
          <w:b/>
        </w:rPr>
        <w:t>Percentage</w:t>
      </w:r>
      <w:r w:rsidR="002F1745" w:rsidRPr="000A08E2">
        <w:rPr>
          <w:b/>
        </w:rPr>
        <w:t xml:space="preserve"> B</w:t>
      </w:r>
      <w:r w:rsidRPr="000A08E2">
        <w:rPr>
          <w:b/>
        </w:rPr>
        <w:t>ased</w:t>
      </w:r>
      <w:r w:rsidR="002F1745">
        <w:t xml:space="preserve"> – </w:t>
      </w:r>
      <w:r w:rsidR="000A08E2">
        <w:t xml:space="preserve">Rent may be fully or partially determined by an indicator of retail sales performance. For example, some leases in shopping centers may include a provision for rent to be partially based on the tenant’s sales volume. </w:t>
      </w:r>
    </w:p>
    <w:p w14:paraId="65C3B24F" w14:textId="77777777" w:rsidR="002F1745" w:rsidRDefault="002F1745" w:rsidP="00266D05"/>
    <w:p w14:paraId="1F9C5EA9" w14:textId="77777777" w:rsidR="00266D05" w:rsidRDefault="002F1745" w:rsidP="00266D05">
      <w:r>
        <w:t>Rentable vs. Usable A</w:t>
      </w:r>
      <w:r w:rsidR="00266D05">
        <w:t>rea</w:t>
      </w:r>
      <w:r>
        <w:t xml:space="preserve"> – </w:t>
      </w:r>
    </w:p>
    <w:p w14:paraId="4CE84AB1" w14:textId="77777777" w:rsidR="002F1745" w:rsidRDefault="002F1745" w:rsidP="00266D05"/>
    <w:p w14:paraId="06864537" w14:textId="77777777" w:rsidR="00266D05" w:rsidRDefault="00266D05" w:rsidP="00266D05">
      <w:r>
        <w:t>Lease</w:t>
      </w:r>
      <w:r w:rsidR="002F1745">
        <w:t xml:space="preserve"> Te</w:t>
      </w:r>
      <w:r>
        <w:t>rm:</w:t>
      </w:r>
    </w:p>
    <w:p w14:paraId="681A0B72" w14:textId="77777777" w:rsidR="00266D05" w:rsidRDefault="002F1745" w:rsidP="00266D05">
      <w:pPr>
        <w:ind w:left="720"/>
      </w:pPr>
      <w:r>
        <w:t>Fixed T</w:t>
      </w:r>
      <w:r w:rsidR="00266D05">
        <w:t>erm</w:t>
      </w:r>
      <w:r>
        <w:t xml:space="preserve"> - </w:t>
      </w:r>
    </w:p>
    <w:p w14:paraId="4A3604A8" w14:textId="77777777" w:rsidR="00266D05" w:rsidRDefault="00266D05" w:rsidP="00266D05">
      <w:pPr>
        <w:ind w:left="720"/>
      </w:pPr>
      <w:r>
        <w:t>Month-to-month lease term</w:t>
      </w:r>
      <w:r w:rsidR="002F1745">
        <w:t xml:space="preserve"> - </w:t>
      </w:r>
    </w:p>
    <w:p w14:paraId="155D7E9F" w14:textId="77777777" w:rsidR="00266D05" w:rsidRDefault="00266D05" w:rsidP="00266D05">
      <w:pPr>
        <w:ind w:left="720"/>
      </w:pPr>
      <w:r>
        <w:t>At Will</w:t>
      </w:r>
      <w:r w:rsidR="002F1745">
        <w:t xml:space="preserve"> - </w:t>
      </w:r>
    </w:p>
    <w:p w14:paraId="3ECF4838" w14:textId="77777777" w:rsidR="00266D05" w:rsidRDefault="00266D05" w:rsidP="00266D05">
      <w:pPr>
        <w:ind w:left="720"/>
      </w:pPr>
      <w:r>
        <w:t>At Sufferance</w:t>
      </w:r>
      <w:r w:rsidR="002F1745">
        <w:t xml:space="preserve"> – </w:t>
      </w:r>
    </w:p>
    <w:p w14:paraId="31125780" w14:textId="77777777" w:rsidR="002F1745" w:rsidRDefault="002F1745" w:rsidP="00266D05">
      <w:pPr>
        <w:ind w:left="720"/>
      </w:pPr>
    </w:p>
    <w:p w14:paraId="27B38419" w14:textId="77777777" w:rsidR="00266D05" w:rsidRDefault="002F1745" w:rsidP="00266D05">
      <w:r>
        <w:t>Renewal O</w:t>
      </w:r>
      <w:r w:rsidR="00266D05">
        <w:t>ption</w:t>
      </w:r>
      <w:r>
        <w:t xml:space="preserve"> – </w:t>
      </w:r>
    </w:p>
    <w:p w14:paraId="2CDF6835" w14:textId="77777777" w:rsidR="002F1745" w:rsidRDefault="002F1745" w:rsidP="00266D05"/>
    <w:p w14:paraId="11AD8AC7" w14:textId="77777777" w:rsidR="00266D05" w:rsidRDefault="00266D05" w:rsidP="00266D05">
      <w:r>
        <w:t>Holdover</w:t>
      </w:r>
      <w:r w:rsidR="002F1745">
        <w:t xml:space="preserve"> – </w:t>
      </w:r>
    </w:p>
    <w:p w14:paraId="49B1BFBF" w14:textId="77777777" w:rsidR="002F1745" w:rsidRDefault="002F1745" w:rsidP="00266D05"/>
    <w:p w14:paraId="4315D8DB" w14:textId="69EB4BC8" w:rsidR="00266D05" w:rsidRDefault="00800A01" w:rsidP="00266D05">
      <w:r>
        <w:t>Payment of E</w:t>
      </w:r>
      <w:r w:rsidR="00266D05">
        <w:t>x</w:t>
      </w:r>
      <w:r>
        <w:t>penses / Common A</w:t>
      </w:r>
      <w:r w:rsidR="00266D05">
        <w:t>rea</w:t>
      </w:r>
    </w:p>
    <w:p w14:paraId="382D1490" w14:textId="1D4A0DD5" w:rsidR="00266D05" w:rsidRDefault="00800A01" w:rsidP="00266D05">
      <w:r>
        <w:tab/>
      </w:r>
      <w:r w:rsidRPr="002A5502">
        <w:rPr>
          <w:b/>
        </w:rPr>
        <w:t>Gross / Full Service Le</w:t>
      </w:r>
      <w:r w:rsidR="00266D05" w:rsidRPr="002A5502">
        <w:rPr>
          <w:b/>
        </w:rPr>
        <w:t>ase</w:t>
      </w:r>
      <w:r w:rsidR="002F1745">
        <w:t xml:space="preserve"> </w:t>
      </w:r>
      <w:r w:rsidR="002A5502">
        <w:t>–</w:t>
      </w:r>
      <w:r w:rsidR="002F1745">
        <w:t xml:space="preserve"> </w:t>
      </w:r>
      <w:r w:rsidR="002A5502">
        <w:t xml:space="preserve">The tenant pays rent only and the property owner provides all services and pays all operating expenses. </w:t>
      </w:r>
    </w:p>
    <w:p w14:paraId="347AAB56" w14:textId="09502286" w:rsidR="00266D05" w:rsidRDefault="00266D05" w:rsidP="0066785B">
      <w:pPr>
        <w:ind w:left="720"/>
      </w:pPr>
      <w:r w:rsidRPr="0066785B">
        <w:rPr>
          <w:b/>
        </w:rPr>
        <w:t>Expense stop</w:t>
      </w:r>
      <w:r w:rsidR="002F1745">
        <w:t xml:space="preserve"> </w:t>
      </w:r>
      <w:r w:rsidR="0066785B">
        <w:t>–</w:t>
      </w:r>
      <w:r w:rsidR="002F1745">
        <w:t xml:space="preserve"> </w:t>
      </w:r>
      <w:r w:rsidR="0066785B">
        <w:t xml:space="preserve">In order to establish a base line of recoverable expenses at the time the tenant takes occupancy, the lease will generally specify that tenants will pay only a share of increases in recoverable expenses in excess of what is referred to as an expense stop. </w:t>
      </w:r>
    </w:p>
    <w:p w14:paraId="24DFB084" w14:textId="2C00C116" w:rsidR="00B46754" w:rsidRPr="00C143A7" w:rsidRDefault="00C143A7" w:rsidP="00266D05">
      <w:pPr>
        <w:rPr>
          <w:b/>
        </w:rPr>
      </w:pPr>
      <w:r w:rsidRPr="00C143A7">
        <w:rPr>
          <w:b/>
        </w:rPr>
        <w:tab/>
        <w:t>Pass-</w:t>
      </w:r>
      <w:r w:rsidR="0066785B" w:rsidRPr="00C143A7">
        <w:rPr>
          <w:b/>
        </w:rPr>
        <w:t>Through</w:t>
      </w:r>
      <w:r w:rsidR="00B46754" w:rsidRPr="00C143A7">
        <w:rPr>
          <w:b/>
        </w:rPr>
        <w:t>:</w:t>
      </w:r>
    </w:p>
    <w:p w14:paraId="472533D9" w14:textId="20573C01" w:rsidR="00B46754" w:rsidRDefault="00B46754" w:rsidP="00C143A7">
      <w:pPr>
        <w:ind w:left="1440"/>
      </w:pPr>
      <w:r w:rsidRPr="00F04487">
        <w:rPr>
          <w:b/>
        </w:rPr>
        <w:t>Single Net</w:t>
      </w:r>
      <w:r>
        <w:t xml:space="preserve"> </w:t>
      </w:r>
      <w:r w:rsidR="00F04487">
        <w:t>–</w:t>
      </w:r>
      <w:r>
        <w:t xml:space="preserve"> </w:t>
      </w:r>
      <w:r w:rsidR="00F04487">
        <w:t xml:space="preserve">The tenant pays rent and pays for all operating expenses identified in the lease. </w:t>
      </w:r>
    </w:p>
    <w:p w14:paraId="1ACB2B62" w14:textId="2B5A53D7" w:rsidR="00B46754" w:rsidRDefault="00B46754" w:rsidP="00C143A7">
      <w:pPr>
        <w:ind w:left="1440"/>
      </w:pPr>
      <w:r w:rsidRPr="00AD5F31">
        <w:rPr>
          <w:b/>
        </w:rPr>
        <w:t>Double Ne</w:t>
      </w:r>
      <w:r w:rsidR="00F04487" w:rsidRPr="00AD5F31">
        <w:rPr>
          <w:b/>
        </w:rPr>
        <w:t>t</w:t>
      </w:r>
      <w:r w:rsidR="00F04487">
        <w:t xml:space="preserve"> </w:t>
      </w:r>
      <w:r w:rsidR="00AD5F31">
        <w:t>–</w:t>
      </w:r>
      <w:r w:rsidR="00F04487">
        <w:t xml:space="preserve"> </w:t>
      </w:r>
      <w:r w:rsidR="00AD5F31">
        <w:t xml:space="preserve">The tenant pays rent and all operating expenses directly. In addition, the owner “passes through” non-operating expenses such as property taxes and insurance costs to the tenant. </w:t>
      </w:r>
    </w:p>
    <w:p w14:paraId="610BBF9B" w14:textId="479EB119" w:rsidR="00266D05" w:rsidRDefault="00B46754" w:rsidP="00C143A7">
      <w:pPr>
        <w:ind w:left="1440"/>
      </w:pPr>
      <w:r w:rsidRPr="00E7260F">
        <w:rPr>
          <w:b/>
        </w:rPr>
        <w:t>T</w:t>
      </w:r>
      <w:r w:rsidR="00266D05" w:rsidRPr="00E7260F">
        <w:rPr>
          <w:b/>
        </w:rPr>
        <w:t>riple Net</w:t>
      </w:r>
      <w:r w:rsidR="002F1745">
        <w:t xml:space="preserve"> </w:t>
      </w:r>
      <w:r w:rsidR="00832A03">
        <w:t>–</w:t>
      </w:r>
      <w:r w:rsidR="002F1745">
        <w:t xml:space="preserve"> </w:t>
      </w:r>
      <w:r w:rsidR="00832A03">
        <w:t xml:space="preserve">Agrees to pay a certain recurring capital outlay for repairs, alterations, and modifications to the interior of the leased building space. </w:t>
      </w:r>
    </w:p>
    <w:p w14:paraId="1AC29472" w14:textId="77777777" w:rsidR="002F1745" w:rsidRDefault="002F1745" w:rsidP="00266D05"/>
    <w:p w14:paraId="35C5ABE9" w14:textId="77777777" w:rsidR="00266D05" w:rsidRDefault="00266D05" w:rsidP="00266D05">
      <w:r>
        <w:t>Types of commercial tenant properties</w:t>
      </w:r>
    </w:p>
    <w:p w14:paraId="7B60E2F5" w14:textId="77777777" w:rsidR="00266D05" w:rsidRDefault="00266D05" w:rsidP="00266D05">
      <w:r>
        <w:tab/>
        <w:t>Office</w:t>
      </w:r>
      <w:r w:rsidR="002F1745">
        <w:t xml:space="preserve"> - </w:t>
      </w:r>
    </w:p>
    <w:p w14:paraId="4EEFBEA0" w14:textId="77777777" w:rsidR="00266D05" w:rsidRDefault="00266D05" w:rsidP="00266D05">
      <w:r>
        <w:tab/>
        <w:t>Industrial / warehouse</w:t>
      </w:r>
      <w:r w:rsidR="002F1745">
        <w:t xml:space="preserve"> - </w:t>
      </w:r>
    </w:p>
    <w:p w14:paraId="5E70D012" w14:textId="77777777" w:rsidR="00266D05" w:rsidRDefault="00266D05" w:rsidP="00266D05">
      <w:r>
        <w:tab/>
        <w:t>Retail</w:t>
      </w:r>
      <w:r w:rsidR="002F1745">
        <w:t xml:space="preserve"> - </w:t>
      </w:r>
    </w:p>
    <w:p w14:paraId="28EB3B7A" w14:textId="77777777" w:rsidR="002F1745" w:rsidRDefault="002F1745" w:rsidP="00266D05"/>
    <w:p w14:paraId="6355713D" w14:textId="36546632" w:rsidR="00266D05" w:rsidRDefault="00CD4EAB" w:rsidP="00266D05">
      <w:r>
        <w:t>Types of Commercial Lease C</w:t>
      </w:r>
      <w:r w:rsidR="00266D05">
        <w:t>lauses</w:t>
      </w:r>
    </w:p>
    <w:p w14:paraId="5FE61AA8" w14:textId="5AEAF741" w:rsidR="00266D05" w:rsidRDefault="002F1745" w:rsidP="00266D05">
      <w:r>
        <w:tab/>
      </w:r>
      <w:r w:rsidRPr="00D32B46">
        <w:rPr>
          <w:b/>
        </w:rPr>
        <w:t>Use</w:t>
      </w:r>
      <w:r>
        <w:t xml:space="preserve"> - </w:t>
      </w:r>
      <w:r w:rsidR="00D32B46">
        <w:t>Tenants must keep the current and future number of employees per square foot at an agreed level.</w:t>
      </w:r>
    </w:p>
    <w:p w14:paraId="199995A5" w14:textId="0DE77BA2" w:rsidR="00266D05" w:rsidRDefault="00266D05" w:rsidP="00266D05">
      <w:r>
        <w:tab/>
      </w:r>
      <w:r w:rsidR="00A01D8E">
        <w:rPr>
          <w:b/>
        </w:rPr>
        <w:t>Right of F</w:t>
      </w:r>
      <w:r w:rsidRPr="00A01D8E">
        <w:rPr>
          <w:b/>
        </w:rPr>
        <w:t>irs</w:t>
      </w:r>
      <w:r w:rsidR="00A01D8E">
        <w:rPr>
          <w:b/>
        </w:rPr>
        <w:t>t R</w:t>
      </w:r>
      <w:r w:rsidRPr="00A01D8E">
        <w:rPr>
          <w:b/>
        </w:rPr>
        <w:t>efusal</w:t>
      </w:r>
      <w:r w:rsidR="002F1745">
        <w:t xml:space="preserve"> </w:t>
      </w:r>
      <w:r w:rsidR="00A01D8E">
        <w:t>–</w:t>
      </w:r>
      <w:r w:rsidR="002F1745">
        <w:t xml:space="preserve"> </w:t>
      </w:r>
      <w:r w:rsidR="00A01D8E">
        <w:t xml:space="preserve">Tenants may have the right to rent contiguous space and/or any space in the building when it becomes available. </w:t>
      </w:r>
    </w:p>
    <w:p w14:paraId="340EA306" w14:textId="001B6BE3" w:rsidR="00266D05" w:rsidRDefault="00A01D8E" w:rsidP="00266D05">
      <w:r>
        <w:tab/>
        <w:t>Exclusivity / N</w:t>
      </w:r>
      <w:r w:rsidR="00266D05">
        <w:t>on-</w:t>
      </w:r>
      <w:r>
        <w:t>Compete</w:t>
      </w:r>
      <w:r w:rsidR="002F1745">
        <w:t xml:space="preserve"> - </w:t>
      </w:r>
    </w:p>
    <w:p w14:paraId="3090ECFB" w14:textId="370B8722" w:rsidR="00266D05" w:rsidRDefault="0076710F" w:rsidP="00266D05">
      <w:r>
        <w:tab/>
        <w:t>Continuous Op</w:t>
      </w:r>
      <w:r w:rsidR="00266D05">
        <w:t>eration</w:t>
      </w:r>
      <w:r w:rsidR="002F1745">
        <w:t xml:space="preserve"> - </w:t>
      </w:r>
      <w:bookmarkStart w:id="0" w:name="_GoBack"/>
      <w:bookmarkEnd w:id="0"/>
    </w:p>
    <w:p w14:paraId="42E01DD1" w14:textId="78A16DC5" w:rsidR="00266D05" w:rsidRDefault="00266D05" w:rsidP="00266D05">
      <w:r>
        <w:tab/>
      </w:r>
      <w:r w:rsidRPr="00340A65">
        <w:rPr>
          <w:b/>
        </w:rPr>
        <w:t>Signage</w:t>
      </w:r>
      <w:r w:rsidR="002F1745">
        <w:t xml:space="preserve"> </w:t>
      </w:r>
      <w:r w:rsidR="00CD4EAB">
        <w:t>–</w:t>
      </w:r>
      <w:r w:rsidR="002F1745">
        <w:t xml:space="preserve"> </w:t>
      </w:r>
      <w:r w:rsidR="00CD4EAB">
        <w:t>Grant one or more tenants the right to display a name inside and/or outside of the building.</w:t>
      </w:r>
    </w:p>
    <w:p w14:paraId="2AE4C374" w14:textId="7A507460" w:rsidR="00266D05" w:rsidRDefault="002F1745" w:rsidP="00A3456D">
      <w:pPr>
        <w:ind w:left="720"/>
      </w:pPr>
      <w:r w:rsidRPr="00A3456D">
        <w:rPr>
          <w:b/>
        </w:rPr>
        <w:t>P</w:t>
      </w:r>
      <w:r w:rsidR="00266D05" w:rsidRPr="00A3456D">
        <w:rPr>
          <w:b/>
        </w:rPr>
        <w:t>arking</w:t>
      </w:r>
      <w:r>
        <w:t xml:space="preserve"> </w:t>
      </w:r>
      <w:r w:rsidR="00340A65">
        <w:t>–</w:t>
      </w:r>
      <w:r>
        <w:t xml:space="preserve"> </w:t>
      </w:r>
      <w:r w:rsidR="00A3456D">
        <w:t>Property owner must reserve and/or keep a specified minimum number of spaces relative to rentable square feet currently in the building and relative to leasable space to be constructed in the future.</w:t>
      </w:r>
    </w:p>
    <w:p w14:paraId="252AFB87" w14:textId="77777777" w:rsidR="002F1745" w:rsidRDefault="002F1745" w:rsidP="00266D05"/>
    <w:p w14:paraId="7D004155" w14:textId="77777777" w:rsidR="00266D05" w:rsidRDefault="00266D05" w:rsidP="00266D05">
      <w:r>
        <w:t>Landlord reps &amp; Warranties:</w:t>
      </w:r>
    </w:p>
    <w:p w14:paraId="0DD74B2D" w14:textId="77777777" w:rsidR="00266D05" w:rsidRDefault="00266D05" w:rsidP="00266D05">
      <w:pPr>
        <w:ind w:firstLine="720"/>
      </w:pPr>
      <w:r>
        <w:t>Covenant of quiet enjoyment</w:t>
      </w:r>
      <w:r w:rsidR="002F1745">
        <w:t xml:space="preserve"> - </w:t>
      </w:r>
    </w:p>
    <w:p w14:paraId="176BA30A" w14:textId="77777777" w:rsidR="00266D05" w:rsidRDefault="00266D05" w:rsidP="00266D05">
      <w:pPr>
        <w:ind w:firstLine="720"/>
      </w:pPr>
      <w:r>
        <w:t>Warranty of habitability / suitability</w:t>
      </w:r>
      <w:r w:rsidR="002F1745">
        <w:t xml:space="preserve"> - </w:t>
      </w:r>
    </w:p>
    <w:p w14:paraId="175A781F" w14:textId="77777777" w:rsidR="00266D05" w:rsidRDefault="00266D05" w:rsidP="00266D05">
      <w:pPr>
        <w:ind w:firstLine="720"/>
      </w:pPr>
      <w:r>
        <w:t>Maintenance of common areas</w:t>
      </w:r>
      <w:r w:rsidR="002F1745">
        <w:t xml:space="preserve"> - </w:t>
      </w:r>
    </w:p>
    <w:p w14:paraId="04BF0DAA" w14:textId="77777777" w:rsidR="002F1745" w:rsidRDefault="002F1745" w:rsidP="00266D05">
      <w:pPr>
        <w:ind w:firstLine="720"/>
      </w:pPr>
    </w:p>
    <w:p w14:paraId="307BE26A" w14:textId="77777777" w:rsidR="00266D05" w:rsidRDefault="00266D05" w:rsidP="00266D05">
      <w:r>
        <w:t>Tenant responsibilities:</w:t>
      </w:r>
    </w:p>
    <w:p w14:paraId="1BA9C411" w14:textId="77777777" w:rsidR="00266D05" w:rsidRDefault="002F1745" w:rsidP="00266D05">
      <w:r>
        <w:tab/>
        <w:t>Payment of R</w:t>
      </w:r>
      <w:r w:rsidR="00266D05">
        <w:t>ent</w:t>
      </w:r>
      <w:r>
        <w:t xml:space="preserve"> - </w:t>
      </w:r>
    </w:p>
    <w:p w14:paraId="5AD3858F" w14:textId="77777777" w:rsidR="00266D05" w:rsidRDefault="00266D05" w:rsidP="00266D05">
      <w:pPr>
        <w:ind w:firstLine="720"/>
      </w:pPr>
      <w:r>
        <w:t>Duty not to commit waste</w:t>
      </w:r>
      <w:r w:rsidR="002F1745">
        <w:t xml:space="preserve"> - </w:t>
      </w:r>
    </w:p>
    <w:p w14:paraId="7FB7A06D" w14:textId="77777777" w:rsidR="002F1745" w:rsidRDefault="002F1745" w:rsidP="00266D05">
      <w:pPr>
        <w:ind w:firstLine="720"/>
      </w:pPr>
    </w:p>
    <w:p w14:paraId="429281DD" w14:textId="77777777" w:rsidR="00266D05" w:rsidRDefault="002F1745" w:rsidP="00266D05">
      <w:r>
        <w:t>Constructive E</w:t>
      </w:r>
      <w:r w:rsidR="00266D05">
        <w:t>viction</w:t>
      </w:r>
      <w:r>
        <w:t xml:space="preserve"> – </w:t>
      </w:r>
    </w:p>
    <w:p w14:paraId="098CD654" w14:textId="77777777" w:rsidR="002F1745" w:rsidRDefault="002F1745" w:rsidP="00266D05"/>
    <w:p w14:paraId="7B06FC39" w14:textId="77777777" w:rsidR="00266D05" w:rsidRDefault="002F1745" w:rsidP="00266D05">
      <w:r>
        <w:t>Wrongful E</w:t>
      </w:r>
      <w:r w:rsidR="00266D05">
        <w:t>viction</w:t>
      </w:r>
      <w:r>
        <w:t xml:space="preserve"> – </w:t>
      </w:r>
    </w:p>
    <w:p w14:paraId="56072140" w14:textId="77777777" w:rsidR="002F1745" w:rsidRDefault="002F1745" w:rsidP="00266D05"/>
    <w:p w14:paraId="6A93688B" w14:textId="77777777" w:rsidR="00266D05" w:rsidRDefault="002F1745" w:rsidP="00266D05">
      <w:r>
        <w:t>Retaliatory E</w:t>
      </w:r>
      <w:r w:rsidR="00266D05">
        <w:t>viction</w:t>
      </w:r>
      <w:r>
        <w:t xml:space="preserve"> – </w:t>
      </w:r>
    </w:p>
    <w:p w14:paraId="341E8399" w14:textId="77777777" w:rsidR="002F1745" w:rsidRDefault="002F1745" w:rsidP="00266D05"/>
    <w:p w14:paraId="11AB5C07" w14:textId="77777777" w:rsidR="00266D05" w:rsidRDefault="002F1745" w:rsidP="00266D05">
      <w:r>
        <w:t>Security De</w:t>
      </w:r>
      <w:r w:rsidR="00266D05">
        <w:t>posit</w:t>
      </w:r>
      <w:r>
        <w:t xml:space="preserve"> – </w:t>
      </w:r>
    </w:p>
    <w:p w14:paraId="75F62B0B" w14:textId="77777777" w:rsidR="002F1745" w:rsidRDefault="002F1745" w:rsidP="00266D05"/>
    <w:p w14:paraId="7FDE2F2A" w14:textId="77777777" w:rsidR="00266D05" w:rsidRDefault="002F1745" w:rsidP="00266D05">
      <w:r>
        <w:t>Normal W</w:t>
      </w:r>
      <w:r w:rsidR="00266D05">
        <w:t>ear and tear</w:t>
      </w:r>
      <w:r>
        <w:t xml:space="preserve"> – </w:t>
      </w:r>
    </w:p>
    <w:p w14:paraId="09C46D4D" w14:textId="77777777" w:rsidR="002F1745" w:rsidRDefault="002F1745" w:rsidP="00266D05"/>
    <w:p w14:paraId="4FA1CD02" w14:textId="77777777" w:rsidR="00266D05" w:rsidRDefault="00266D05" w:rsidP="00266D05">
      <w:r>
        <w:t>Tenant vs. Occupant</w:t>
      </w:r>
      <w:r w:rsidR="002F1745">
        <w:t xml:space="preserve"> – </w:t>
      </w:r>
    </w:p>
    <w:p w14:paraId="0D429BBF" w14:textId="77777777" w:rsidR="002F1745" w:rsidRDefault="002F1745" w:rsidP="00266D05"/>
    <w:p w14:paraId="4F5DB5F1" w14:textId="77777777" w:rsidR="00266D05" w:rsidRDefault="00266D05" w:rsidP="00266D05">
      <w:r>
        <w:t>Assignment vs. Subletting</w:t>
      </w:r>
      <w:r w:rsidR="002F1745">
        <w:t xml:space="preserve"> - </w:t>
      </w:r>
    </w:p>
    <w:p w14:paraId="5919CA4C" w14:textId="77777777" w:rsidR="00CA30DA" w:rsidRDefault="00CA30DA"/>
    <w:sectPr w:rsidR="00CA30DA" w:rsidSect="007F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2771B" w14:textId="77777777" w:rsidR="002415DD" w:rsidRDefault="002415DD" w:rsidP="002415DD">
      <w:r>
        <w:separator/>
      </w:r>
    </w:p>
  </w:endnote>
  <w:endnote w:type="continuationSeparator" w:id="0">
    <w:p w14:paraId="23A11464" w14:textId="77777777" w:rsidR="002415DD" w:rsidRDefault="002415DD" w:rsidP="0024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5A103" w14:textId="77777777" w:rsidR="002415DD" w:rsidRDefault="002415DD" w:rsidP="002415DD">
      <w:r>
        <w:separator/>
      </w:r>
    </w:p>
  </w:footnote>
  <w:footnote w:type="continuationSeparator" w:id="0">
    <w:p w14:paraId="4FA17768" w14:textId="77777777" w:rsidR="002415DD" w:rsidRDefault="002415DD" w:rsidP="00241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C66"/>
    <w:multiLevelType w:val="hybridMultilevel"/>
    <w:tmpl w:val="D64CB0C0"/>
    <w:lvl w:ilvl="0" w:tplc="0C6A85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05"/>
    <w:rsid w:val="0005297A"/>
    <w:rsid w:val="000A08E2"/>
    <w:rsid w:val="001B6259"/>
    <w:rsid w:val="002415DD"/>
    <w:rsid w:val="00266D05"/>
    <w:rsid w:val="002A5502"/>
    <w:rsid w:val="002F1745"/>
    <w:rsid w:val="00340A65"/>
    <w:rsid w:val="00345AB0"/>
    <w:rsid w:val="003677DF"/>
    <w:rsid w:val="00466C5D"/>
    <w:rsid w:val="004776F7"/>
    <w:rsid w:val="00520402"/>
    <w:rsid w:val="00527FA2"/>
    <w:rsid w:val="0066785B"/>
    <w:rsid w:val="0076710F"/>
    <w:rsid w:val="00791078"/>
    <w:rsid w:val="007F2861"/>
    <w:rsid w:val="00800A01"/>
    <w:rsid w:val="00832A03"/>
    <w:rsid w:val="00913E61"/>
    <w:rsid w:val="00A01D8E"/>
    <w:rsid w:val="00A3456D"/>
    <w:rsid w:val="00AD5F31"/>
    <w:rsid w:val="00B45978"/>
    <w:rsid w:val="00B46594"/>
    <w:rsid w:val="00B46754"/>
    <w:rsid w:val="00C143A7"/>
    <w:rsid w:val="00CA30DA"/>
    <w:rsid w:val="00CD4EAB"/>
    <w:rsid w:val="00D32B46"/>
    <w:rsid w:val="00DA1AFE"/>
    <w:rsid w:val="00E7260F"/>
    <w:rsid w:val="00F04487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10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D05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05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5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15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DD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D05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05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5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15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692</Words>
  <Characters>3948</Characters>
  <Application>Microsoft Macintosh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33</cp:revision>
  <dcterms:created xsi:type="dcterms:W3CDTF">2014-05-05T05:03:00Z</dcterms:created>
  <dcterms:modified xsi:type="dcterms:W3CDTF">2014-05-05T05:41:00Z</dcterms:modified>
</cp:coreProperties>
</file>