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CA5DD" w14:textId="77777777" w:rsidR="008C2BAF" w:rsidRDefault="008C2BAF" w:rsidP="008C2BAF">
      <w:pPr>
        <w:pStyle w:val="Heading1"/>
        <w:jc w:val="center"/>
      </w:pPr>
      <w:r>
        <w:t>Class 8 – Key Terms</w:t>
      </w:r>
    </w:p>
    <w:p w14:paraId="6F13C9F4" w14:textId="77777777" w:rsidR="00CA30DA" w:rsidRDefault="00CA30DA"/>
    <w:p w14:paraId="65377818" w14:textId="01E2A824" w:rsidR="008C2BAF" w:rsidRDefault="00903AE6" w:rsidP="008C2BAF">
      <w:r w:rsidRPr="00523B74">
        <w:rPr>
          <w:b/>
        </w:rPr>
        <w:t>Closing</w:t>
      </w:r>
      <w:r>
        <w:t xml:space="preserve"> – </w:t>
      </w:r>
      <w:r w:rsidR="00523B74">
        <w:t xml:space="preserve">The purpose of the closing, then, is (1) to make final settlement between the buyer and seller for costs, fees, and </w:t>
      </w:r>
      <w:proofErr w:type="spellStart"/>
      <w:r w:rsidR="00523B74">
        <w:t>prorations</w:t>
      </w:r>
      <w:proofErr w:type="spellEnd"/>
      <w:r w:rsidR="00523B74">
        <w:t xml:space="preserve"> associated with the real estate transaction prior to the transfer of title, and (2) to finalize the loan agre</w:t>
      </w:r>
      <w:bookmarkStart w:id="0" w:name="_GoBack"/>
      <w:bookmarkEnd w:id="0"/>
      <w:r w:rsidR="00523B74">
        <w:t xml:space="preserve">ement between the buyer/borrower and the lender. </w:t>
      </w:r>
    </w:p>
    <w:p w14:paraId="1C0724A3" w14:textId="77777777" w:rsidR="00903AE6" w:rsidRDefault="00903AE6" w:rsidP="008C2BAF"/>
    <w:p w14:paraId="4A39EE23" w14:textId="4BBE7C70" w:rsidR="00523B74" w:rsidRDefault="00523B74" w:rsidP="008C2BAF">
      <w:r>
        <w:t xml:space="preserve">Closing of Sale - </w:t>
      </w:r>
    </w:p>
    <w:p w14:paraId="407C17FB" w14:textId="77777777" w:rsidR="00523B74" w:rsidRDefault="00523B74" w:rsidP="008C2BAF"/>
    <w:p w14:paraId="5F7658DF" w14:textId="7A5F7373" w:rsidR="00523B74" w:rsidRDefault="00523B74" w:rsidP="008C2BAF">
      <w:r>
        <w:t xml:space="preserve">Closing of Loan - </w:t>
      </w:r>
    </w:p>
    <w:p w14:paraId="549841A0" w14:textId="77777777" w:rsidR="00523B74" w:rsidRDefault="00523B74" w:rsidP="008C2BAF"/>
    <w:p w14:paraId="5915349D" w14:textId="305B0596" w:rsidR="008C2BAF" w:rsidRDefault="00523B74" w:rsidP="008C2BAF">
      <w:r>
        <w:t>Closing of R</w:t>
      </w:r>
      <w:r w:rsidR="008C2BAF">
        <w:t>efinance</w:t>
      </w:r>
      <w:r w:rsidR="00903AE6">
        <w:t xml:space="preserve"> – </w:t>
      </w:r>
    </w:p>
    <w:p w14:paraId="1D905C1B" w14:textId="77777777" w:rsidR="00903AE6" w:rsidRDefault="00903AE6" w:rsidP="008C2BAF"/>
    <w:p w14:paraId="462A2EF5" w14:textId="77777777" w:rsidR="008C2BAF" w:rsidRDefault="008C2BAF" w:rsidP="008C2BAF">
      <w:r>
        <w:t>Escrow</w:t>
      </w:r>
      <w:r w:rsidR="00903AE6">
        <w:t xml:space="preserve"> – </w:t>
      </w:r>
    </w:p>
    <w:p w14:paraId="5B583ADA" w14:textId="77777777" w:rsidR="00903AE6" w:rsidRDefault="00903AE6" w:rsidP="008C2BAF"/>
    <w:p w14:paraId="62D6B2D5" w14:textId="77777777" w:rsidR="008C2BAF" w:rsidRDefault="008C2BAF" w:rsidP="008C2BAF">
      <w:r>
        <w:t>Escrow Agent/Officer</w:t>
      </w:r>
      <w:r w:rsidR="00903AE6">
        <w:t xml:space="preserve"> – </w:t>
      </w:r>
    </w:p>
    <w:p w14:paraId="619775F6" w14:textId="77777777" w:rsidR="00903AE6" w:rsidRDefault="00903AE6" w:rsidP="008C2BAF"/>
    <w:p w14:paraId="0A953D61" w14:textId="324CB3C7" w:rsidR="008C2BAF" w:rsidRDefault="00D85DAB" w:rsidP="008C2BAF">
      <w:r>
        <w:t>Closing into E</w:t>
      </w:r>
      <w:r w:rsidR="008C2BAF">
        <w:t>scrow</w:t>
      </w:r>
      <w:r w:rsidR="00903AE6">
        <w:t xml:space="preserve"> – </w:t>
      </w:r>
    </w:p>
    <w:p w14:paraId="1A607201" w14:textId="77777777" w:rsidR="00903AE6" w:rsidRDefault="00903AE6" w:rsidP="008C2BAF"/>
    <w:p w14:paraId="010259F2" w14:textId="77777777" w:rsidR="008C2BAF" w:rsidRDefault="008C2BAF" w:rsidP="008C2BAF">
      <w:r>
        <w:t>Funding / Good funds rule</w:t>
      </w:r>
      <w:r w:rsidR="00903AE6">
        <w:t xml:space="preserve"> – </w:t>
      </w:r>
    </w:p>
    <w:p w14:paraId="52415AA0" w14:textId="77777777" w:rsidR="00903AE6" w:rsidRDefault="00903AE6" w:rsidP="008C2BAF"/>
    <w:p w14:paraId="303E916E" w14:textId="77777777" w:rsidR="008C2BAF" w:rsidRDefault="008C2BAF" w:rsidP="008C2BAF">
      <w:r>
        <w:t>Liability of escrow agent</w:t>
      </w:r>
      <w:r w:rsidR="00903AE6">
        <w:t xml:space="preserve"> – </w:t>
      </w:r>
    </w:p>
    <w:p w14:paraId="6B5DFE14" w14:textId="77777777" w:rsidR="00903AE6" w:rsidRDefault="00903AE6" w:rsidP="008C2BAF"/>
    <w:p w14:paraId="0FE92C4C" w14:textId="55BFB7B0" w:rsidR="008C2BAF" w:rsidRDefault="00A03FCC" w:rsidP="008C2BAF">
      <w:r>
        <w:t>Closing C</w:t>
      </w:r>
      <w:r w:rsidR="008C2BAF">
        <w:t>hecklist</w:t>
      </w:r>
      <w:r w:rsidR="00903AE6">
        <w:t xml:space="preserve"> – </w:t>
      </w:r>
    </w:p>
    <w:p w14:paraId="7F5509CA" w14:textId="77777777" w:rsidR="00903AE6" w:rsidRDefault="00903AE6" w:rsidP="008C2BAF"/>
    <w:p w14:paraId="7C6594B2" w14:textId="3B57BB15" w:rsidR="008C2BAF" w:rsidRDefault="00EE6792" w:rsidP="008C2BAF">
      <w:proofErr w:type="gramStart"/>
      <w:r w:rsidRPr="00A03FCC">
        <w:rPr>
          <w:b/>
        </w:rPr>
        <w:t>Parties to a C</w:t>
      </w:r>
      <w:r w:rsidR="008C2BAF" w:rsidRPr="00A03FCC">
        <w:rPr>
          <w:b/>
        </w:rPr>
        <w:t>losing</w:t>
      </w:r>
      <w:r w:rsidR="00903AE6">
        <w:t xml:space="preserve"> – </w:t>
      </w:r>
      <w:r w:rsidR="002643A8">
        <w:t>(1) The buyer and seller, (2) any real estate brokers involved, and (3) the settlement agent.</w:t>
      </w:r>
      <w:proofErr w:type="gramEnd"/>
    </w:p>
    <w:p w14:paraId="60067CDA" w14:textId="77777777" w:rsidR="00903AE6" w:rsidRDefault="00903AE6" w:rsidP="008C2BAF"/>
    <w:p w14:paraId="73F0B1B3" w14:textId="77777777" w:rsidR="008C2BAF" w:rsidRDefault="008C2BAF" w:rsidP="008C2BAF">
      <w:r>
        <w:t>Closing costs typically paid by the buyer/borrower</w:t>
      </w:r>
      <w:r w:rsidR="00903AE6">
        <w:t xml:space="preserve"> – </w:t>
      </w:r>
    </w:p>
    <w:p w14:paraId="73DE1F8D" w14:textId="77777777" w:rsidR="00903AE6" w:rsidRDefault="00903AE6" w:rsidP="008C2BAF"/>
    <w:p w14:paraId="2B6D6A6C" w14:textId="77777777" w:rsidR="008C2BAF" w:rsidRDefault="008C2BAF" w:rsidP="008C2BAF">
      <w:r>
        <w:t>Closing costs typically paid by the seller</w:t>
      </w:r>
      <w:r w:rsidR="00903AE6">
        <w:t xml:space="preserve"> – </w:t>
      </w:r>
    </w:p>
    <w:p w14:paraId="1F987100" w14:textId="77777777" w:rsidR="00903AE6" w:rsidRDefault="00903AE6" w:rsidP="008C2BAF"/>
    <w:p w14:paraId="3633D695" w14:textId="77777777" w:rsidR="008C2BAF" w:rsidRDefault="008C2BAF" w:rsidP="008C2BAF">
      <w:r>
        <w:t>Proration of taxes and insurance</w:t>
      </w:r>
      <w:r w:rsidR="00903AE6">
        <w:t xml:space="preserve"> – </w:t>
      </w:r>
    </w:p>
    <w:p w14:paraId="7DBBD3D6" w14:textId="77777777" w:rsidR="00903AE6" w:rsidRDefault="00903AE6" w:rsidP="008C2BAF"/>
    <w:p w14:paraId="29BAC469" w14:textId="77777777" w:rsidR="008C2BAF" w:rsidRDefault="008C2BAF" w:rsidP="008C2BAF">
      <w:r>
        <w:t>Escrow of taxes and insurance</w:t>
      </w:r>
      <w:r w:rsidR="00903AE6">
        <w:t xml:space="preserve"> – </w:t>
      </w:r>
    </w:p>
    <w:p w14:paraId="7D0DB9CC" w14:textId="77777777" w:rsidR="00903AE6" w:rsidRDefault="00903AE6" w:rsidP="008C2BAF"/>
    <w:p w14:paraId="46093225" w14:textId="512105EE" w:rsidR="000400D7" w:rsidRDefault="008C2BAF" w:rsidP="008C101B">
      <w:r w:rsidRPr="008C101B">
        <w:rPr>
          <w:b/>
        </w:rPr>
        <w:t>RESPA: Real Estate Settlement Procedures Act</w:t>
      </w:r>
      <w:r w:rsidR="00903AE6">
        <w:t xml:space="preserve"> – </w:t>
      </w:r>
      <w:r w:rsidR="000400D7">
        <w:t xml:space="preserve">A law passed by Congress to provide a uniform set of procedures and documents for buyer/borrowers of residential real estate. </w:t>
      </w:r>
    </w:p>
    <w:p w14:paraId="4761D780" w14:textId="77777777" w:rsidR="00903AE6" w:rsidRDefault="00903AE6" w:rsidP="008C2BAF"/>
    <w:p w14:paraId="0F952178" w14:textId="77777777" w:rsidR="008C2BAF" w:rsidRDefault="008C2BAF" w:rsidP="008C2BAF">
      <w:r>
        <w:t>Exemptions from RESPA</w:t>
      </w:r>
      <w:r w:rsidR="00903AE6">
        <w:t xml:space="preserve"> – </w:t>
      </w:r>
    </w:p>
    <w:p w14:paraId="6731B582" w14:textId="77777777" w:rsidR="00903AE6" w:rsidRDefault="00903AE6" w:rsidP="008C2BAF"/>
    <w:p w14:paraId="7AED6E06" w14:textId="77777777" w:rsidR="008C101B" w:rsidRDefault="008C2BAF" w:rsidP="008C101B">
      <w:r w:rsidRPr="008C101B">
        <w:rPr>
          <w:b/>
        </w:rPr>
        <w:t>Essential aspects of RESPA</w:t>
      </w:r>
      <w:r w:rsidR="00903AE6">
        <w:t xml:space="preserve"> – </w:t>
      </w:r>
      <w:r w:rsidR="008C101B">
        <w:t>There are seven areas that are included:</w:t>
      </w:r>
    </w:p>
    <w:p w14:paraId="01A2D1F9" w14:textId="77777777" w:rsidR="008C101B" w:rsidRDefault="008C101B" w:rsidP="008C101B">
      <w:pPr>
        <w:pStyle w:val="ListParagraph"/>
        <w:numPr>
          <w:ilvl w:val="0"/>
          <w:numId w:val="1"/>
        </w:numPr>
      </w:pPr>
      <w:r>
        <w:lastRenderedPageBreak/>
        <w:t>Consumer information</w:t>
      </w:r>
    </w:p>
    <w:p w14:paraId="5E5DDF40" w14:textId="77777777" w:rsidR="008C101B" w:rsidRDefault="008C101B" w:rsidP="008C101B">
      <w:pPr>
        <w:pStyle w:val="ListParagraph"/>
        <w:numPr>
          <w:ilvl w:val="0"/>
          <w:numId w:val="1"/>
        </w:numPr>
      </w:pPr>
      <w:r>
        <w:t>Advance disclosure of settlement costs</w:t>
      </w:r>
    </w:p>
    <w:p w14:paraId="524A7104" w14:textId="77777777" w:rsidR="008C101B" w:rsidRDefault="008C101B" w:rsidP="008C101B">
      <w:pPr>
        <w:pStyle w:val="ListParagraph"/>
        <w:numPr>
          <w:ilvl w:val="0"/>
          <w:numId w:val="1"/>
        </w:numPr>
      </w:pPr>
      <w:r>
        <w:t>Title insurance placement</w:t>
      </w:r>
    </w:p>
    <w:p w14:paraId="0CDE98CC" w14:textId="77777777" w:rsidR="008C101B" w:rsidRDefault="008C101B" w:rsidP="008C101B">
      <w:pPr>
        <w:pStyle w:val="ListParagraph"/>
        <w:numPr>
          <w:ilvl w:val="0"/>
          <w:numId w:val="1"/>
        </w:numPr>
      </w:pPr>
      <w:r>
        <w:t>Prohibition of kickbacks and referral fees</w:t>
      </w:r>
    </w:p>
    <w:p w14:paraId="529884A1" w14:textId="77777777" w:rsidR="008C101B" w:rsidRDefault="008C101B" w:rsidP="008C101B">
      <w:pPr>
        <w:pStyle w:val="ListParagraph"/>
        <w:numPr>
          <w:ilvl w:val="0"/>
          <w:numId w:val="1"/>
        </w:numPr>
      </w:pPr>
      <w:r>
        <w:t>Uniform settlement statement</w:t>
      </w:r>
    </w:p>
    <w:p w14:paraId="4024E902" w14:textId="77777777" w:rsidR="008C101B" w:rsidRDefault="008C101B" w:rsidP="008C101B">
      <w:pPr>
        <w:pStyle w:val="ListParagraph"/>
        <w:numPr>
          <w:ilvl w:val="0"/>
          <w:numId w:val="1"/>
        </w:numPr>
      </w:pPr>
      <w:r>
        <w:t>Advance inspection of uniform settlement statement</w:t>
      </w:r>
    </w:p>
    <w:p w14:paraId="630BC75E" w14:textId="77777777" w:rsidR="008C101B" w:rsidRDefault="008C101B" w:rsidP="008C101B">
      <w:pPr>
        <w:pStyle w:val="ListParagraph"/>
        <w:numPr>
          <w:ilvl w:val="0"/>
          <w:numId w:val="1"/>
        </w:numPr>
      </w:pPr>
      <w:r>
        <w:t>Escrow deposits</w:t>
      </w:r>
    </w:p>
    <w:p w14:paraId="790D2FEA" w14:textId="77777777" w:rsidR="008C2BAF" w:rsidRDefault="008C2BAF" w:rsidP="008C2BAF"/>
    <w:p w14:paraId="09F40F3C" w14:textId="77777777" w:rsidR="00903AE6" w:rsidRDefault="00903AE6" w:rsidP="008C2BAF"/>
    <w:p w14:paraId="72F92193" w14:textId="77777777" w:rsidR="008C2BAF" w:rsidRDefault="008C2BAF" w:rsidP="008C2BAF">
      <w:r>
        <w:t>HUD-1 / settlement statement / closing statement</w:t>
      </w:r>
      <w:r w:rsidR="00903AE6">
        <w:t xml:space="preserve"> – </w:t>
      </w:r>
    </w:p>
    <w:p w14:paraId="5A89E7C2" w14:textId="77777777" w:rsidR="00903AE6" w:rsidRDefault="00903AE6" w:rsidP="008C2BAF"/>
    <w:p w14:paraId="778CD1EB" w14:textId="45DC1FDB" w:rsidR="008C2BAF" w:rsidRDefault="008C2BAF" w:rsidP="008C2BAF">
      <w:r w:rsidRPr="00A70789">
        <w:rPr>
          <w:b/>
        </w:rPr>
        <w:t>Federal Truth –in-Lending Act</w:t>
      </w:r>
      <w:r w:rsidR="008C101B">
        <w:t xml:space="preserve"> </w:t>
      </w:r>
      <w:r w:rsidR="004D0FF5">
        <w:t>–</w:t>
      </w:r>
      <w:r w:rsidR="008C101B">
        <w:t xml:space="preserve"> </w:t>
      </w:r>
      <w:r w:rsidR="004D0FF5">
        <w:t xml:space="preserve">Deals with the costs of mortgage </w:t>
      </w:r>
      <w:proofErr w:type="gramStart"/>
      <w:r w:rsidR="004D0FF5">
        <w:t>credit,</w:t>
      </w:r>
      <w:proofErr w:type="gramEnd"/>
      <w:r w:rsidR="004D0FF5">
        <w:t xml:space="preserve"> have been a required affecting lenders since 1968. </w:t>
      </w:r>
    </w:p>
    <w:p w14:paraId="705E1968" w14:textId="77777777" w:rsidR="008C2BAF" w:rsidRDefault="008C2BAF"/>
    <w:sectPr w:rsidR="008C2BAF" w:rsidSect="00CA3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677BB"/>
    <w:multiLevelType w:val="hybridMultilevel"/>
    <w:tmpl w:val="E89A230C"/>
    <w:lvl w:ilvl="0" w:tplc="7018CA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AF"/>
    <w:rsid w:val="000400D7"/>
    <w:rsid w:val="002643A8"/>
    <w:rsid w:val="004A2A58"/>
    <w:rsid w:val="004D0FF5"/>
    <w:rsid w:val="00523B74"/>
    <w:rsid w:val="008C101B"/>
    <w:rsid w:val="008C2BAF"/>
    <w:rsid w:val="00903AE6"/>
    <w:rsid w:val="00A03FCC"/>
    <w:rsid w:val="00A70789"/>
    <w:rsid w:val="00CA30DA"/>
    <w:rsid w:val="00D85DAB"/>
    <w:rsid w:val="00E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6E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AF"/>
    <w:pPr>
      <w:keepNext/>
      <w:keepLines/>
      <w:spacing w:before="480"/>
      <w:outlineLvl w:val="0"/>
    </w:pPr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AF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40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AF"/>
    <w:pPr>
      <w:keepNext/>
      <w:keepLines/>
      <w:spacing w:before="480"/>
      <w:outlineLvl w:val="0"/>
    </w:pPr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AF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4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11</cp:revision>
  <dcterms:created xsi:type="dcterms:W3CDTF">2014-05-05T06:28:00Z</dcterms:created>
  <dcterms:modified xsi:type="dcterms:W3CDTF">2014-05-05T15:12:00Z</dcterms:modified>
</cp:coreProperties>
</file>