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EC29D" w14:textId="229FE0B1" w:rsidR="00166F6D" w:rsidRPr="007A2403" w:rsidRDefault="009B637C" w:rsidP="009B637C">
      <w:pPr>
        <w:pStyle w:val="Heading2"/>
        <w:jc w:val="center"/>
        <w:rPr>
          <w:color w:val="C0504D" w:themeColor="accent2"/>
          <w:sz w:val="24"/>
          <w:szCs w:val="24"/>
          <w:u w:val="single"/>
        </w:rPr>
      </w:pPr>
      <w:r w:rsidRPr="007A2403">
        <w:rPr>
          <w:color w:val="C0504D" w:themeColor="accent2"/>
          <w:sz w:val="24"/>
          <w:szCs w:val="24"/>
          <w:u w:val="single"/>
        </w:rPr>
        <w:t>Financial</w:t>
      </w:r>
      <w:r w:rsidR="00166F6D" w:rsidRPr="007A2403">
        <w:rPr>
          <w:color w:val="C0504D" w:themeColor="accent2"/>
          <w:sz w:val="24"/>
          <w:szCs w:val="24"/>
          <w:u w:val="single"/>
        </w:rPr>
        <w:t xml:space="preserve"> </w:t>
      </w:r>
      <w:r w:rsidR="00441217" w:rsidRPr="007A2403">
        <w:rPr>
          <w:color w:val="C0504D" w:themeColor="accent2"/>
          <w:sz w:val="24"/>
          <w:szCs w:val="24"/>
          <w:u w:val="single"/>
        </w:rPr>
        <w:t>Ratios</w:t>
      </w:r>
    </w:p>
    <w:p w14:paraId="54FD0356" w14:textId="079E0395" w:rsidR="00166F6D" w:rsidRPr="007A2403" w:rsidRDefault="00166F6D" w:rsidP="009B637C">
      <w:pPr>
        <w:pStyle w:val="Heading3"/>
        <w:jc w:val="center"/>
        <w:rPr>
          <w:sz w:val="20"/>
          <w:szCs w:val="20"/>
          <w:u w:val="single"/>
        </w:rPr>
      </w:pPr>
      <w:r w:rsidRPr="007A2403">
        <w:rPr>
          <w:sz w:val="20"/>
          <w:szCs w:val="20"/>
          <w:u w:val="single"/>
        </w:rPr>
        <w:t>Liquidity Ratios</w:t>
      </w:r>
    </w:p>
    <w:p w14:paraId="45F3B20B" w14:textId="77777777" w:rsidR="00344788" w:rsidRDefault="00344788" w:rsidP="009B637C"/>
    <w:p w14:paraId="16F29EE4" w14:textId="77777777" w:rsidR="00344788" w:rsidRPr="007A2403" w:rsidRDefault="00344788" w:rsidP="009B637C">
      <w:pPr>
        <w:rPr>
          <w:i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Current Ratio</m:t>
          </m:r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Current Assets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Current Liabilities</m:t>
              </m:r>
            </m:den>
          </m:f>
        </m:oMath>
      </m:oMathPara>
    </w:p>
    <w:p w14:paraId="74C6499F" w14:textId="77777777" w:rsidR="00344788" w:rsidRPr="007A2403" w:rsidRDefault="00344788" w:rsidP="009B637C">
      <w:pPr>
        <w:rPr>
          <w:i/>
          <w:sz w:val="16"/>
          <w:szCs w:val="16"/>
        </w:rPr>
      </w:pPr>
    </w:p>
    <w:p w14:paraId="76034CD3" w14:textId="77777777" w:rsidR="00344788" w:rsidRPr="007A2403" w:rsidRDefault="00344788" w:rsidP="009B637C">
      <w:pPr>
        <w:rPr>
          <w:b/>
          <w:i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Quick Ratio</m:t>
          </m:r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Current Assets-Inventory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Current Liabilities</m:t>
              </m:r>
            </m:den>
          </m:f>
        </m:oMath>
      </m:oMathPara>
    </w:p>
    <w:p w14:paraId="310229CD" w14:textId="3222B518" w:rsidR="00344788" w:rsidRPr="007A2403" w:rsidRDefault="00344788" w:rsidP="009B637C">
      <w:pPr>
        <w:rPr>
          <w:rFonts w:ascii="Cambria Math" w:hAnsi="Cambria Math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2"/>
              <w:szCs w:val="12"/>
            </w:rPr>
            <m:t xml:space="preserve">Net Working Capital Turnover= 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Net Sales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Net Working Capital (Current Assets-Current Liabilities)</m:t>
              </m:r>
            </m:den>
          </m:f>
        </m:oMath>
      </m:oMathPara>
    </w:p>
    <w:p w14:paraId="0975CF4A" w14:textId="20A1D30D" w:rsidR="00166F6D" w:rsidRPr="007A2403" w:rsidRDefault="00166F6D" w:rsidP="009B637C">
      <w:pPr>
        <w:pStyle w:val="Heading3"/>
        <w:jc w:val="center"/>
        <w:rPr>
          <w:sz w:val="20"/>
          <w:szCs w:val="20"/>
          <w:u w:val="single"/>
        </w:rPr>
      </w:pPr>
      <w:r w:rsidRPr="007A2403">
        <w:rPr>
          <w:sz w:val="20"/>
          <w:szCs w:val="20"/>
          <w:u w:val="single"/>
        </w:rPr>
        <w:t>Asset Management Ratios</w:t>
      </w:r>
    </w:p>
    <w:p w14:paraId="230C4B65" w14:textId="21954AAD" w:rsidR="00A87EF7" w:rsidRPr="00A571CB" w:rsidRDefault="00A87EF7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Accounts Receivables Turnover=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Net Sales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Net Acccounts Receivables</m:t>
              </m:r>
            </m:den>
          </m:f>
        </m:oMath>
      </m:oMathPara>
    </w:p>
    <w:p w14:paraId="29B51D43" w14:textId="76B0216A" w:rsidR="00A87EF7" w:rsidRPr="00A571CB" w:rsidRDefault="00A15DA4" w:rsidP="009B637C">
      <w:pPr>
        <w:rPr>
          <w:b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RMA 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Inventory Turnover=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Cost of Goods Sold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Inventory</m:t>
              </m:r>
            </m:den>
          </m:f>
        </m:oMath>
      </m:oMathPara>
    </w:p>
    <w:p w14:paraId="713E7D4A" w14:textId="7DFEF7CD" w:rsidR="00A15DA4" w:rsidRPr="00A571CB" w:rsidRDefault="00A15DA4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S&amp;P Industry Surveys Inventory Turnover=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Net Sales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w:rPr>
                  <w:rFonts w:ascii="Cambria Math" w:hAnsi="Cambria Math"/>
                  <w:sz w:val="16"/>
                  <w:szCs w:val="16"/>
                </w:rPr>
                <m:t>nventory</m:t>
              </m:r>
            </m:den>
          </m:f>
        </m:oMath>
      </m:oMathPara>
    </w:p>
    <w:p w14:paraId="7281F028" w14:textId="65922F84" w:rsidR="00A87EF7" w:rsidRPr="00A571CB" w:rsidRDefault="00A87EF7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Fixed Asset Turnover=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Net Sales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Net Fixed Assets</m:t>
              </m:r>
            </m:den>
          </m:f>
        </m:oMath>
      </m:oMathPara>
    </w:p>
    <w:p w14:paraId="2230542C" w14:textId="5B6927C1" w:rsidR="009A52AB" w:rsidRPr="00A571CB" w:rsidRDefault="00A87EF7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Total Asset Turnover=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Net Sales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Total Assets</m:t>
              </m:r>
            </m:den>
          </m:f>
        </m:oMath>
      </m:oMathPara>
    </w:p>
    <w:p w14:paraId="7A5EC468" w14:textId="1EFC6BD5" w:rsidR="00166F6D" w:rsidRPr="00A571CB" w:rsidRDefault="00166F6D" w:rsidP="009B637C">
      <w:pPr>
        <w:pStyle w:val="Heading3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 xml:space="preserve">Debt Management </w:t>
      </w:r>
      <w:r w:rsidR="00BD2B90" w:rsidRPr="00A571CB">
        <w:rPr>
          <w:sz w:val="20"/>
          <w:szCs w:val="20"/>
        </w:rPr>
        <w:t xml:space="preserve">(Leverage) </w:t>
      </w:r>
      <w:r w:rsidRPr="00A571CB">
        <w:rPr>
          <w:sz w:val="20"/>
          <w:szCs w:val="20"/>
        </w:rPr>
        <w:t>Ratios</w:t>
      </w:r>
    </w:p>
    <w:p w14:paraId="75EC48AF" w14:textId="50647BEA" w:rsidR="00BD2B90" w:rsidRPr="00A571CB" w:rsidRDefault="0009076D" w:rsidP="009B637C">
      <w:pPr>
        <w:rPr>
          <w:b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RMA 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Accounts Payables Turnover=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Cost of Goods Sold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Accounts Payables</m:t>
              </m:r>
            </m:den>
          </m:f>
        </m:oMath>
      </m:oMathPara>
    </w:p>
    <w:p w14:paraId="3150D7DD" w14:textId="77777777" w:rsidR="0076124C" w:rsidRPr="00A571CB" w:rsidRDefault="0076124C" w:rsidP="009B637C">
      <w:pPr>
        <w:rPr>
          <w:b/>
          <w:sz w:val="16"/>
          <w:szCs w:val="16"/>
        </w:rPr>
      </w:pPr>
    </w:p>
    <w:p w14:paraId="4659E10A" w14:textId="6C26EC4E" w:rsidR="0009076D" w:rsidRPr="00A571CB" w:rsidRDefault="0009076D" w:rsidP="009B637C">
      <w:pPr>
        <w:rPr>
          <w:sz w:val="14"/>
          <w:szCs w:val="1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 xml:space="preserve">S&amp;P Industry Surveys Accounts Payables Turnover= 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Net Sales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Accounts Payables</m:t>
              </m:r>
            </m:den>
          </m:f>
        </m:oMath>
      </m:oMathPara>
    </w:p>
    <w:p w14:paraId="04AD67C6" w14:textId="6DA65BEA" w:rsidR="00BD2B90" w:rsidRPr="00A571CB" w:rsidRDefault="00BD2B90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Debt t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o Total Assets=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Total Debt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Total Assets</m:t>
              </m:r>
            </m:den>
          </m:f>
        </m:oMath>
      </m:oMathPara>
    </w:p>
    <w:p w14:paraId="4469E65B" w14:textId="0902783B" w:rsidR="00BD2B90" w:rsidRPr="002A3551" w:rsidRDefault="00BD2B90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Times Interest Earned=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EBIT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Annual Interest Expense</m:t>
              </m:r>
            </m:den>
          </m:f>
        </m:oMath>
      </m:oMathPara>
    </w:p>
    <w:p w14:paraId="22A27894" w14:textId="35921FE8" w:rsidR="002A3551" w:rsidRPr="0067572D" w:rsidRDefault="002A3551" w:rsidP="009B637C">
      <w:pPr>
        <w:rPr>
          <w:b/>
          <w:i/>
          <w:sz w:val="17"/>
          <w:szCs w:val="17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7"/>
              <w:szCs w:val="17"/>
            </w:rPr>
            <m:t xml:space="preserve">Leverage Multiplier Ratio= </m:t>
          </m:r>
          <m:f>
            <m:f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fPr>
            <m:num>
              <m:r>
                <w:rPr>
                  <w:rFonts w:ascii="Cambria Math" w:hAnsi="Cambria Math"/>
                  <w:sz w:val="17"/>
                  <w:szCs w:val="17"/>
                </w:rPr>
                <m:t>Total Assets</m:t>
              </m:r>
            </m:num>
            <m:den>
              <m:r>
                <w:rPr>
                  <w:rFonts w:ascii="Cambria Math" w:hAnsi="Cambria Math"/>
                  <w:sz w:val="17"/>
                  <w:szCs w:val="17"/>
                </w:rPr>
                <m:t>Common Equity</m:t>
              </m:r>
            </m:den>
          </m:f>
        </m:oMath>
      </m:oMathPara>
    </w:p>
    <w:p w14:paraId="7B2A6A91" w14:textId="2DB6FE50" w:rsidR="00166F6D" w:rsidRPr="00A571CB" w:rsidRDefault="00166F6D" w:rsidP="00A571CB">
      <w:pPr>
        <w:pStyle w:val="Heading3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>Profitability Ratios</w:t>
      </w:r>
    </w:p>
    <w:p w14:paraId="0575F96D" w14:textId="4545D148" w:rsidR="0076124C" w:rsidRPr="00A571CB" w:rsidRDefault="0076124C" w:rsidP="00A571CB">
      <w:pPr>
        <w:jc w:val="center"/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Net Profit Margin=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Net Income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Net Sales</m:t>
              </m:r>
            </m:den>
          </m:f>
        </m:oMath>
      </m:oMathPara>
    </w:p>
    <w:p w14:paraId="4F36F9AC" w14:textId="6E1C7703" w:rsidR="008D69F2" w:rsidRPr="00A571CB" w:rsidRDefault="008D69F2" w:rsidP="00A571CB">
      <w:pPr>
        <w:jc w:val="center"/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Net Gross Profit Margin=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Gross Profit (Net Sales-COGS)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Net Sales</m:t>
              </m:r>
            </m:den>
          </m:f>
        </m:oMath>
      </m:oMathPara>
    </w:p>
    <w:p w14:paraId="028BFB5E" w14:textId="1BCF23CC" w:rsidR="008D69F2" w:rsidRPr="00A571CB" w:rsidRDefault="00B74E90" w:rsidP="00A571CB">
      <w:pPr>
        <w:jc w:val="center"/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Net Operating Profit Margin=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EBIT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Net Sales</m:t>
              </m:r>
            </m:den>
          </m:f>
        </m:oMath>
      </m:oMathPara>
    </w:p>
    <w:p w14:paraId="19EE90A9" w14:textId="429629AC" w:rsidR="0076124C" w:rsidRPr="00A571CB" w:rsidRDefault="0076124C" w:rsidP="00A571CB">
      <w:pPr>
        <w:jc w:val="center"/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Return On Assets </m:t>
          </m:r>
          <m:d>
            <m:dPr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ROA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Net Income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Total Assets</m:t>
              </m:r>
            </m:den>
          </m:f>
        </m:oMath>
      </m:oMathPara>
    </w:p>
    <w:p w14:paraId="0F394C2D" w14:textId="030D3EF4" w:rsidR="0076124C" w:rsidRPr="00A571CB" w:rsidRDefault="0076124C" w:rsidP="00A571CB">
      <w:pPr>
        <w:jc w:val="center"/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Return on Equity </m:t>
          </m:r>
          <m:d>
            <m:dPr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ROE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Net Income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Common Equity</m:t>
              </m:r>
            </m:den>
          </m:f>
        </m:oMath>
      </m:oMathPara>
    </w:p>
    <w:p w14:paraId="38E8F635" w14:textId="430FF4F3" w:rsidR="00166F6D" w:rsidRPr="00A571CB" w:rsidRDefault="00166F6D" w:rsidP="009B637C">
      <w:pPr>
        <w:pStyle w:val="Heading3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>Cash Flow Ratios</w:t>
      </w:r>
    </w:p>
    <w:p w14:paraId="63EC760D" w14:textId="749D0905" w:rsidR="00A83DAC" w:rsidRPr="00A571CB" w:rsidRDefault="00A83DAC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CF Coverage of Interest Expenses</m:t>
          </m:r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CF from Operating+Interest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Interest</m:t>
              </m:r>
            </m:den>
          </m:f>
        </m:oMath>
      </m:oMathPara>
    </w:p>
    <w:p w14:paraId="3DA376C3" w14:textId="41DEE431" w:rsidR="00166F6D" w:rsidRPr="0067572D" w:rsidRDefault="00A83DAC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Quality of Earnings</m:t>
          </m:r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CF from Operating-Preferred Dividends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Earnings Av</m:t>
              </m:r>
              <m:r>
                <w:rPr>
                  <w:rFonts w:ascii="Cambria Math" w:hAnsi="Cambria Math"/>
                  <w:sz w:val="16"/>
                  <w:szCs w:val="16"/>
                </w:rPr>
                <m:t>ailable for Common Shareholders</m:t>
              </m:r>
            </m:den>
          </m:f>
        </m:oMath>
      </m:oMathPara>
    </w:p>
    <w:p w14:paraId="256598E2" w14:textId="09B70F53" w:rsidR="00A83DAC" w:rsidRDefault="00D5610A" w:rsidP="00A571CB">
      <w:pPr>
        <w:pStyle w:val="Heading3"/>
        <w:jc w:val="center"/>
      </w:pPr>
      <w:r>
        <w:t>DuPont Analysis</w:t>
      </w:r>
    </w:p>
    <w:p w14:paraId="4ED3962E" w14:textId="61A332F0" w:rsidR="00D5610A" w:rsidRPr="00A571CB" w:rsidRDefault="00D5610A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Firms ROE is split into three parts</w:t>
      </w:r>
    </w:p>
    <w:p w14:paraId="263530F0" w14:textId="74080D0A" w:rsidR="00D5610A" w:rsidRPr="00A571CB" w:rsidRDefault="00D5610A" w:rsidP="009B637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571CB">
        <w:rPr>
          <w:sz w:val="16"/>
          <w:szCs w:val="16"/>
        </w:rPr>
        <w:t>Expense Control: Profit Margin</w:t>
      </w:r>
    </w:p>
    <w:p w14:paraId="318802ED" w14:textId="5A829FFD" w:rsidR="00D5610A" w:rsidRPr="00A571CB" w:rsidRDefault="00D5610A" w:rsidP="009B637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571CB">
        <w:rPr>
          <w:sz w:val="16"/>
          <w:szCs w:val="16"/>
        </w:rPr>
        <w:t>Asset Utilization: Total Asset Turnover</w:t>
      </w:r>
    </w:p>
    <w:p w14:paraId="696413C5" w14:textId="267885AF" w:rsidR="00D5610A" w:rsidRPr="00A571CB" w:rsidRDefault="00D5610A" w:rsidP="009B637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A571CB">
        <w:rPr>
          <w:sz w:val="16"/>
          <w:szCs w:val="16"/>
        </w:rPr>
        <w:t>Financial Leverage: Leverage Multiplier</w:t>
      </w:r>
    </w:p>
    <w:p w14:paraId="60408699" w14:textId="32FA3584" w:rsidR="00D5610A" w:rsidRDefault="00D5610A" w:rsidP="009B637C">
      <w:pPr>
        <w:pStyle w:val="ListParagraph"/>
        <w:ind w:left="1080"/>
      </w:pPr>
    </w:p>
    <w:p w14:paraId="3A5BECC5" w14:textId="2C77BA44" w:rsidR="00880025" w:rsidRDefault="00F721C6" w:rsidP="009B637C">
      <w:r>
        <w:rPr>
          <w:noProof/>
        </w:rPr>
        <w:drawing>
          <wp:inline distT="0" distB="0" distL="0" distR="0" wp14:anchorId="4883F3FC" wp14:editId="59A866AC">
            <wp:extent cx="1600200" cy="1236265"/>
            <wp:effectExtent l="0" t="0" r="0" b="8890"/>
            <wp:docPr id="2" name="Picture 2" descr="Macintosh HD:Users:jacobwall:Desktop:Screen Shot 2013-06-14 at 8.21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obwall:Desktop:Screen Shot 2013-06-14 at 8.21.0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1496" w14:textId="706D1CB9" w:rsidR="00880025" w:rsidRDefault="00880025" w:rsidP="009B637C">
      <w:pPr>
        <w:pStyle w:val="Heading1"/>
        <w:jc w:val="center"/>
        <w:rPr>
          <w:color w:val="C0504D" w:themeColor="accent2"/>
          <w:sz w:val="24"/>
          <w:szCs w:val="24"/>
          <w:u w:val="single"/>
        </w:rPr>
      </w:pPr>
      <w:r w:rsidRPr="00A571CB">
        <w:rPr>
          <w:color w:val="C0504D" w:themeColor="accent2"/>
          <w:sz w:val="24"/>
          <w:szCs w:val="24"/>
          <w:u w:val="single"/>
        </w:rPr>
        <w:lastRenderedPageBreak/>
        <w:t>Time Value of Money</w:t>
      </w:r>
    </w:p>
    <w:p w14:paraId="0831973A" w14:textId="71833B59" w:rsidR="00A571CB" w:rsidRPr="00A571CB" w:rsidRDefault="00A571CB" w:rsidP="00A571CB">
      <w:pPr>
        <w:pStyle w:val="Heading3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>Equations</w:t>
      </w:r>
    </w:p>
    <w:p w14:paraId="30330384" w14:textId="2F01C22A" w:rsidR="00A83DAC" w:rsidRPr="00A571CB" w:rsidRDefault="00EA25CF" w:rsidP="009B637C">
      <w:pPr>
        <w:rPr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2"/>
              <w:szCs w:val="12"/>
            </w:rPr>
            <m:t>Fisher Equation</m:t>
          </m:r>
          <m:r>
            <w:rPr>
              <w:rFonts w:ascii="Cambria Math" w:hAnsi="Cambria Math"/>
              <w:sz w:val="12"/>
              <w:szCs w:val="12"/>
            </w:rPr>
            <m:t xml:space="preserve">=Nominal </m:t>
          </m:r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1+nominal</m:t>
              </m:r>
            </m:e>
          </m:d>
          <m:r>
            <w:rPr>
              <w:rFonts w:ascii="Cambria Math" w:hAnsi="Cambria Math"/>
              <w:sz w:val="12"/>
              <w:szCs w:val="12"/>
            </w:rPr>
            <m:t xml:space="preserve">= Real </m:t>
          </m:r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1+real</m:t>
              </m:r>
            </m:e>
          </m:d>
          <m:r>
            <w:rPr>
              <w:rFonts w:ascii="Cambria Math" w:hAnsi="Cambria Math"/>
              <w:sz w:val="12"/>
              <w:szCs w:val="12"/>
            </w:rPr>
            <m:t>+ Inflation (1+inflation)</m:t>
          </m:r>
        </m:oMath>
      </m:oMathPara>
    </w:p>
    <w:p w14:paraId="7F5DE607" w14:textId="73DC1CD7" w:rsidR="007F15AF" w:rsidRPr="00A571CB" w:rsidRDefault="00EA25CF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APR</m:t>
          </m:r>
          <m:r>
            <w:rPr>
              <w:rFonts w:ascii="Cambria Math" w:hAnsi="Cambria Math"/>
              <w:sz w:val="16"/>
              <w:szCs w:val="16"/>
            </w:rPr>
            <m:t xml:space="preserve">=$1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APR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m</m:t>
          </m:r>
          <m:r>
            <w:rPr>
              <w:rFonts w:ascii="Cambria Math" w:hAnsi="Cambria Math"/>
              <w:sz w:val="16"/>
              <w:szCs w:val="16"/>
            </w:rPr>
            <m:t>t</m:t>
          </m:r>
          <m:r>
            <w:rPr>
              <w:rFonts w:ascii="Cambria Math" w:hAnsi="Cambria Math"/>
              <w:sz w:val="16"/>
              <w:szCs w:val="16"/>
            </w:rPr>
            <m:t>]</m:t>
          </m:r>
        </m:oMath>
      </m:oMathPara>
    </w:p>
    <w:p w14:paraId="76E64F9A" w14:textId="0E7C0F34" w:rsidR="00387903" w:rsidRPr="00A571CB" w:rsidRDefault="00EA25CF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EAR</m:t>
          </m:r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APR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=1+EAR</m:t>
          </m:r>
        </m:oMath>
      </m:oMathPara>
    </w:p>
    <w:p w14:paraId="0BBBFB2C" w14:textId="77777777" w:rsidR="00387903" w:rsidRPr="00A571CB" w:rsidRDefault="00387903" w:rsidP="009B637C">
      <w:pPr>
        <w:rPr>
          <w:sz w:val="16"/>
          <w:szCs w:val="16"/>
        </w:rPr>
      </w:pPr>
    </w:p>
    <w:p w14:paraId="0C8C1148" w14:textId="256201D0" w:rsidR="00A83DAC" w:rsidRPr="00A571CB" w:rsidRDefault="00EA25CF" w:rsidP="009B637C">
      <w:pPr>
        <w:rPr>
          <w:iCs/>
          <w:sz w:val="16"/>
          <w:szCs w:val="16"/>
          <w:vertAlign w:val="super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FV</m:t>
          </m:r>
          <m:r>
            <w:rPr>
              <w:rFonts w:ascii="Cambria Math" w:hAnsi="Cambria Math"/>
              <w:sz w:val="16"/>
              <w:szCs w:val="16"/>
              <w:vertAlign w:val="subscript"/>
            </w:rPr>
            <w:noBreakHyphen/>
            <m:t>t</m:t>
          </m:r>
          <m:r>
            <w:rPr>
              <w:rFonts w:ascii="Cambria Math" w:hAnsi="Cambria Math"/>
              <w:sz w:val="16"/>
              <w:szCs w:val="16"/>
            </w:rPr>
            <m:t>=PV0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1+r</m:t>
              </m:r>
            </m:e>
          </m:d>
          <m:r>
            <w:rPr>
              <w:rFonts w:ascii="Cambria Math" w:hAnsi="Cambria Math"/>
              <w:sz w:val="16"/>
              <w:szCs w:val="16"/>
              <w:vertAlign w:val="superscript"/>
            </w:rPr>
            <m:t>t</m:t>
          </m:r>
        </m:oMath>
      </m:oMathPara>
    </w:p>
    <w:p w14:paraId="0617BC02" w14:textId="520BDC6D" w:rsidR="0061656B" w:rsidRPr="00A571CB" w:rsidRDefault="00EA25CF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PV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0</m:t>
          </m:r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FVt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1+r</m:t>
                  </m:r>
                </m:e>
              </m:d>
            </m:den>
          </m:f>
          <m:r>
            <w:rPr>
              <w:rFonts w:ascii="Cambria Math" w:hAnsi="Cambria Math"/>
              <w:sz w:val="16"/>
              <w:szCs w:val="16"/>
            </w:rPr>
            <m:t>t</m:t>
          </m:r>
        </m:oMath>
      </m:oMathPara>
    </w:p>
    <w:p w14:paraId="4F1F5C7E" w14:textId="25ECC209" w:rsidR="00CD5AE8" w:rsidRPr="00A571CB" w:rsidRDefault="00EA25CF" w:rsidP="009B637C">
      <w:pPr>
        <w:rPr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Discount Factor</m:t>
          </m:r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(1+r)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t</m:t>
          </m:r>
        </m:oMath>
      </m:oMathPara>
    </w:p>
    <w:p w14:paraId="7182853E" w14:textId="789B384C" w:rsidR="00EA25CF" w:rsidRPr="00A571CB" w:rsidRDefault="00EA25CF" w:rsidP="009B637C">
      <w:pPr>
        <w:pStyle w:val="Heading3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>Multiple Cash Flows</w:t>
      </w:r>
    </w:p>
    <w:p w14:paraId="6CFE6467" w14:textId="5288B6C6" w:rsidR="00A27CF1" w:rsidRPr="00A571CB" w:rsidRDefault="00A27CF1" w:rsidP="009B637C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PV=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mPr>
            <m:mr>
              <m:e>
                <m:r>
                  <w:rPr>
                    <w:rFonts w:ascii="Cambria Math" w:hAnsi="Cambria Math"/>
                    <w:sz w:val="18"/>
                    <w:szCs w:val="18"/>
                  </w:rPr>
                  <m:t>∞</m:t>
                </m:r>
              </m:e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</w:rPr>
                  <m:t>∑</m:t>
                </m:r>
              </m:e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t=0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+…</m:t>
          </m:r>
        </m:oMath>
      </m:oMathPara>
    </w:p>
    <w:p w14:paraId="373EA05F" w14:textId="211F6CB3" w:rsidR="00EA25CF" w:rsidRPr="00A571CB" w:rsidRDefault="00EA25CF" w:rsidP="009B637C">
      <w:pPr>
        <w:pStyle w:val="Heading3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>Ordinary Annuities &amp; Annuities Due</w:t>
      </w:r>
    </w:p>
    <w:p w14:paraId="03051935" w14:textId="77777777" w:rsidR="00853F4D" w:rsidRDefault="00853F4D" w:rsidP="009B637C"/>
    <w:p w14:paraId="75A4B528" w14:textId="2CAD52D1" w:rsidR="00853F4D" w:rsidRPr="00A571CB" w:rsidRDefault="00E23987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PV of an Annuity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PVA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mr>
            <m:mr>
              <m:e>
                <m:r>
                  <w:rPr>
                    <w:rFonts w:ascii="Cambria Math" w:hAnsi="Cambria Math"/>
                    <w:sz w:val="16"/>
                    <w:szCs w:val="16"/>
                  </w:rPr>
                  <m:t>∑</m:t>
                </m:r>
              </m:e>
            </m:mr>
            <m:m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t=0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 xml:space="preserve">=CF+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>+…</m:t>
          </m:r>
        </m:oMath>
      </m:oMathPara>
    </w:p>
    <w:p w14:paraId="46B9BD7B" w14:textId="5BB73495" w:rsidR="004316C8" w:rsidRPr="00A571CB" w:rsidRDefault="004316C8" w:rsidP="009B637C">
      <w:pPr>
        <w:rPr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 xml:space="preserve">FV of an Annuity 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FVA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mPr>
            <m:m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</m:mr>
            <m:m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∑</m:t>
                </m:r>
              </m:e>
            </m:mr>
            <m:m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t=0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CF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(1+r)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CF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(1+r)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CF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(1+r)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+…</m:t>
          </m:r>
        </m:oMath>
      </m:oMathPara>
    </w:p>
    <w:p w14:paraId="1E690FCC" w14:textId="2A511536" w:rsidR="008E2A61" w:rsidRPr="00A571CB" w:rsidRDefault="0007751D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PV Factor=[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]</m:t>
          </m:r>
        </m:oMath>
      </m:oMathPara>
    </w:p>
    <w:p w14:paraId="4F74C943" w14:textId="6179F6FB" w:rsidR="0090685F" w:rsidRPr="00A571CB" w:rsidRDefault="0090685F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PV of Annuity Due=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1+r</m:t>
              </m:r>
            </m:e>
          </m:d>
          <m:r>
            <w:rPr>
              <w:rFonts w:ascii="Cambria Math" w:hAnsi="Cambria Math"/>
              <w:sz w:val="16"/>
              <w:szCs w:val="16"/>
            </w:rPr>
            <m:t>CF [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]</m:t>
          </m:r>
        </m:oMath>
      </m:oMathPara>
    </w:p>
    <w:p w14:paraId="6F5FBBEF" w14:textId="3CB7171A" w:rsidR="004316C8" w:rsidRPr="00A571CB" w:rsidRDefault="0090685F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FV of Annuity Due=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1+r</m:t>
              </m:r>
            </m:e>
          </m:d>
          <m:r>
            <w:rPr>
              <w:rFonts w:ascii="Cambria Math" w:hAnsi="Cambria Math"/>
              <w:sz w:val="16"/>
              <w:szCs w:val="16"/>
            </w:rPr>
            <m:t>CF [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]</m:t>
          </m:r>
        </m:oMath>
      </m:oMathPara>
    </w:p>
    <w:p w14:paraId="75CBA900" w14:textId="01AF4A03" w:rsidR="00EA25CF" w:rsidRPr="00A571CB" w:rsidRDefault="00A571CB" w:rsidP="00A571CB">
      <w:pPr>
        <w:pStyle w:val="Heading3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>Pe</w:t>
      </w:r>
      <w:r w:rsidR="00EA25CF" w:rsidRPr="00A571CB">
        <w:rPr>
          <w:sz w:val="20"/>
          <w:szCs w:val="20"/>
        </w:rPr>
        <w:t>rpetuities</w:t>
      </w:r>
    </w:p>
    <w:p w14:paraId="33C2615D" w14:textId="31A43F60" w:rsidR="0042098C" w:rsidRPr="00A571CB" w:rsidRDefault="0042098C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PV of a Perpetuity= </m:t>
          </m:r>
          <m:f>
            <m:fPr>
              <m:type m:val="lin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</m:oMath>
      </m:oMathPara>
    </w:p>
    <w:p w14:paraId="6C61C747" w14:textId="788644CE" w:rsidR="0042098C" w:rsidRPr="00A571CB" w:rsidRDefault="0042098C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r=</m:t>
          </m:r>
          <m:f>
            <m:fPr>
              <m:type m:val="lin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PV</m:t>
              </m:r>
            </m:den>
          </m:f>
        </m:oMath>
      </m:oMathPara>
    </w:p>
    <w:p w14:paraId="5C368CBF" w14:textId="7D524839" w:rsidR="0042098C" w:rsidRPr="001D74E0" w:rsidRDefault="0042098C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CF=PV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r</m:t>
          </m:r>
        </m:oMath>
      </m:oMathPara>
    </w:p>
    <w:p w14:paraId="3CA30904" w14:textId="633BEE10" w:rsidR="00A83DAC" w:rsidRPr="00A571CB" w:rsidRDefault="0090685F" w:rsidP="001D74E0">
      <w:pPr>
        <w:pStyle w:val="Heading1"/>
        <w:jc w:val="center"/>
        <w:rPr>
          <w:color w:val="C0504D" w:themeColor="accent2"/>
        </w:rPr>
      </w:pPr>
      <w:r w:rsidRPr="00A571CB">
        <w:rPr>
          <w:color w:val="C0504D" w:themeColor="accent2"/>
        </w:rPr>
        <w:t>Interest</w:t>
      </w:r>
    </w:p>
    <w:p w14:paraId="1358560E" w14:textId="09E95E9E" w:rsidR="0090685F" w:rsidRPr="00A571CB" w:rsidRDefault="0090685F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Nominal Interest Rate=r=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+IP+DRP+LP+MRP (or RRP)</m:t>
          </m:r>
        </m:oMath>
      </m:oMathPara>
    </w:p>
    <w:p w14:paraId="1839865C" w14:textId="11821578" w:rsidR="0090685F" w:rsidRPr="00A571CB" w:rsidRDefault="0090685F" w:rsidP="009B637C">
      <w:pPr>
        <w:rPr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=Real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or pure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risk free interest rate</m:t>
          </m:r>
        </m:oMath>
      </m:oMathPara>
    </w:p>
    <w:p w14:paraId="467E595C" w14:textId="5095F008" w:rsidR="0090685F" w:rsidRPr="00A571CB" w:rsidRDefault="0090685F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IP=The inflation premium</m:t>
          </m:r>
        </m:oMath>
      </m:oMathPara>
    </w:p>
    <w:p w14:paraId="232634B1" w14:textId="72140C43" w:rsidR="0090685F" w:rsidRPr="00A571CB" w:rsidRDefault="0090685F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DRP=The default (credit) risk premium</m:t>
          </m:r>
        </m:oMath>
      </m:oMathPara>
    </w:p>
    <w:p w14:paraId="57561453" w14:textId="73785A3D" w:rsidR="0090685F" w:rsidRPr="00A571CB" w:rsidRDefault="0090685F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LP=The liquidity premium</m:t>
          </m:r>
        </m:oMath>
      </m:oMathPara>
    </w:p>
    <w:p w14:paraId="65375BCF" w14:textId="7B8D1CB5" w:rsidR="00D95829" w:rsidRPr="00A571CB" w:rsidRDefault="00D95829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MRP =Maturity risk premium</m:t>
          </m:r>
        </m:oMath>
      </m:oMathPara>
    </w:p>
    <w:p w14:paraId="559DA40F" w14:textId="5B55ED61" w:rsidR="00A83DAC" w:rsidRPr="00A571CB" w:rsidRDefault="00D95829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RRP=Reinvestment Risk Premium</m:t>
          </m:r>
        </m:oMath>
      </m:oMathPara>
    </w:p>
    <w:p w14:paraId="4716E0EE" w14:textId="05D3D68F" w:rsidR="002A3551" w:rsidRPr="002A3551" w:rsidRDefault="002A3551" w:rsidP="002A3551">
      <w:pPr>
        <w:pStyle w:val="Heading3"/>
        <w:jc w:val="center"/>
        <w:rPr>
          <w:sz w:val="20"/>
          <w:szCs w:val="20"/>
        </w:rPr>
      </w:pPr>
      <w:r w:rsidRPr="002A3551">
        <w:rPr>
          <w:sz w:val="20"/>
          <w:szCs w:val="20"/>
        </w:rPr>
        <w:t>Types of Yield Curves</w:t>
      </w:r>
    </w:p>
    <w:p w14:paraId="6A553336" w14:textId="4D915AE7" w:rsidR="0067572D" w:rsidRPr="002A3551" w:rsidRDefault="0067572D" w:rsidP="002A3551">
      <w:pPr>
        <w:rPr>
          <w:sz w:val="16"/>
          <w:szCs w:val="16"/>
        </w:rPr>
      </w:pPr>
      <w:r w:rsidRPr="002A3551">
        <w:rPr>
          <w:sz w:val="16"/>
          <w:szCs w:val="16"/>
        </w:rPr>
        <w:t>Yield Curve</w:t>
      </w:r>
      <w:r w:rsidR="002A3551" w:rsidRPr="002A3551">
        <w:rPr>
          <w:sz w:val="16"/>
          <w:szCs w:val="16"/>
        </w:rPr>
        <w:t xml:space="preserve"> - </w:t>
      </w:r>
      <w:r w:rsidRPr="002A3551">
        <w:rPr>
          <w:sz w:val="16"/>
          <w:szCs w:val="16"/>
        </w:rPr>
        <w:t>Moderate rate levels rising continuously with increasing maturity (upward sloping)</w:t>
      </w:r>
    </w:p>
    <w:p w14:paraId="002579FF" w14:textId="61C0DEE0" w:rsidR="0067572D" w:rsidRPr="002A3551" w:rsidRDefault="0067572D" w:rsidP="002A3551">
      <w:pPr>
        <w:rPr>
          <w:sz w:val="16"/>
          <w:szCs w:val="16"/>
        </w:rPr>
      </w:pPr>
      <w:r w:rsidRPr="002A3551">
        <w:rPr>
          <w:sz w:val="16"/>
          <w:szCs w:val="16"/>
        </w:rPr>
        <w:t>Rising Yield Curve</w:t>
      </w:r>
      <w:r w:rsidR="002A3551" w:rsidRPr="002A3551">
        <w:rPr>
          <w:sz w:val="16"/>
          <w:szCs w:val="16"/>
        </w:rPr>
        <w:t xml:space="preserve"> - </w:t>
      </w:r>
      <w:r w:rsidRPr="002A3551">
        <w:rPr>
          <w:sz w:val="16"/>
          <w:szCs w:val="16"/>
        </w:rPr>
        <w:t>Low rate levels rising substantially with increasing maturity</w:t>
      </w:r>
    </w:p>
    <w:p w14:paraId="197A93CF" w14:textId="255BFA54" w:rsidR="0067572D" w:rsidRPr="002A3551" w:rsidRDefault="0067572D" w:rsidP="002A3551">
      <w:pPr>
        <w:rPr>
          <w:sz w:val="16"/>
          <w:szCs w:val="16"/>
        </w:rPr>
      </w:pPr>
      <w:r w:rsidRPr="002A3551">
        <w:rPr>
          <w:sz w:val="16"/>
          <w:szCs w:val="16"/>
        </w:rPr>
        <w:t>Inverted Yield Curve</w:t>
      </w:r>
      <w:r w:rsidR="002A3551" w:rsidRPr="002A3551">
        <w:rPr>
          <w:sz w:val="16"/>
          <w:szCs w:val="16"/>
        </w:rPr>
        <w:t xml:space="preserve"> - </w:t>
      </w:r>
      <w:r w:rsidRPr="002A3551">
        <w:rPr>
          <w:sz w:val="16"/>
          <w:szCs w:val="16"/>
        </w:rPr>
        <w:t>Short-term rates high and declining over entire maturity range</w:t>
      </w:r>
    </w:p>
    <w:p w14:paraId="43B8D591" w14:textId="77777777" w:rsidR="001D74E0" w:rsidRDefault="0067572D" w:rsidP="001D74E0">
      <w:pPr>
        <w:rPr>
          <w:sz w:val="16"/>
          <w:szCs w:val="16"/>
        </w:rPr>
      </w:pPr>
      <w:r w:rsidRPr="002A3551">
        <w:rPr>
          <w:sz w:val="16"/>
          <w:szCs w:val="16"/>
        </w:rPr>
        <w:t>Flat Yield Curve</w:t>
      </w:r>
      <w:r w:rsidR="002A3551" w:rsidRPr="002A3551">
        <w:rPr>
          <w:sz w:val="16"/>
          <w:szCs w:val="16"/>
        </w:rPr>
        <w:t xml:space="preserve"> - </w:t>
      </w:r>
      <w:r w:rsidRPr="002A3551">
        <w:rPr>
          <w:sz w:val="16"/>
          <w:szCs w:val="16"/>
        </w:rPr>
        <w:t>Rates are relatively constant (invariant) over entire maturity range</w:t>
      </w:r>
    </w:p>
    <w:p w14:paraId="1BAC627D" w14:textId="24E5FD9C" w:rsidR="002A3551" w:rsidRPr="001D74E0" w:rsidRDefault="00D95829" w:rsidP="001D74E0">
      <w:pPr>
        <w:pStyle w:val="Heading1"/>
        <w:jc w:val="center"/>
        <w:rPr>
          <w:color w:val="C0504D" w:themeColor="accent2"/>
          <w:sz w:val="16"/>
          <w:szCs w:val="16"/>
        </w:rPr>
      </w:pPr>
      <w:r w:rsidRPr="001D74E0">
        <w:rPr>
          <w:color w:val="C0504D" w:themeColor="accent2"/>
        </w:rPr>
        <w:t>Bonds</w:t>
      </w:r>
    </w:p>
    <w:p w14:paraId="0BB55EBA" w14:textId="3C062FB5" w:rsidR="00CE788D" w:rsidRPr="00A571CB" w:rsidRDefault="00E668D6" w:rsidP="00A571CB">
      <w:pPr>
        <w:pStyle w:val="Heading3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>Bond Valuation</w:t>
      </w:r>
    </w:p>
    <w:p w14:paraId="2BE2EF61" w14:textId="76D77439" w:rsidR="00E668D6" w:rsidRPr="00A571CB" w:rsidRDefault="00E668D6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 xml:space="preserve">Step 1: PV of an Annuity </w:t>
      </w:r>
      <w:r w:rsidR="00577ECB" w:rsidRPr="00A571CB">
        <w:rPr>
          <w:sz w:val="16"/>
          <w:szCs w:val="16"/>
        </w:rPr>
        <w:t>e.g. 20n; 3i; 30PMT; PV = $446.32</w:t>
      </w:r>
    </w:p>
    <w:p w14:paraId="3EDEC312" w14:textId="4292B128" w:rsidR="00404A75" w:rsidRPr="00A571CB" w:rsidRDefault="00404A75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Step 2: PV of a Single Sum</w:t>
      </w:r>
      <w:r w:rsidR="00577ECB" w:rsidRPr="00A571CB">
        <w:rPr>
          <w:sz w:val="16"/>
          <w:szCs w:val="16"/>
        </w:rPr>
        <w:t xml:space="preserve"> e.g. 20n; 3i; 1,000FV; PV = $553.68</w:t>
      </w:r>
    </w:p>
    <w:p w14:paraId="12AD456F" w14:textId="5AEE4110" w:rsidR="00F37239" w:rsidRPr="00A571CB" w:rsidRDefault="00F37239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Use the market interest rate for i</w:t>
      </w:r>
    </w:p>
    <w:p w14:paraId="633957F1" w14:textId="404FC07E" w:rsidR="00F37239" w:rsidRPr="00A571CB" w:rsidRDefault="00F37239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Yield-to-Maturity (YTM) – Discount rate that equates bond price to the PV of all promised cash flows.</w:t>
      </w:r>
    </w:p>
    <w:p w14:paraId="26A09E73" w14:textId="00E91860" w:rsidR="00157F4B" w:rsidRPr="00A571CB" w:rsidRDefault="00157F4B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lastRenderedPageBreak/>
        <w:t xml:space="preserve">APR = Bond </w:t>
      </w:r>
      <w:r w:rsidR="00A571CB" w:rsidRPr="00A571CB">
        <w:rPr>
          <w:sz w:val="16"/>
          <w:szCs w:val="16"/>
        </w:rPr>
        <w:t>equivalent</w:t>
      </w:r>
      <w:r w:rsidRPr="00A571CB">
        <w:rPr>
          <w:sz w:val="16"/>
          <w:szCs w:val="16"/>
        </w:rPr>
        <w:t xml:space="preserve"> yield. E.g. semi-annual is 2*r, not EAR which would be [1+r/2)]2-1</w:t>
      </w:r>
    </w:p>
    <w:p w14:paraId="7AEB6E20" w14:textId="3ABE044E" w:rsidR="00157F4B" w:rsidRPr="00A571CB" w:rsidRDefault="00157F4B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Current Yield=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$Annual Coupon Payment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Current Price</m:t>
              </m:r>
            </m:den>
          </m:f>
        </m:oMath>
      </m:oMathPara>
    </w:p>
    <w:p w14:paraId="51E09438" w14:textId="77777777" w:rsidR="00D95829" w:rsidRDefault="00D95829" w:rsidP="009B637C"/>
    <w:p w14:paraId="63704D70" w14:textId="682E00ED" w:rsidR="00427ADE" w:rsidRPr="00A571CB" w:rsidRDefault="00427ADE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Interest Rate Risk (or price risk) –</w:t>
      </w:r>
      <w:r w:rsidR="00776433">
        <w:rPr>
          <w:sz w:val="16"/>
          <w:szCs w:val="16"/>
        </w:rPr>
        <w:t xml:space="preserve"> Risk associated wit</w:t>
      </w:r>
      <w:r w:rsidRPr="00A571CB">
        <w:rPr>
          <w:sz w:val="16"/>
          <w:szCs w:val="16"/>
        </w:rPr>
        <w:t>h</w:t>
      </w:r>
      <w:r w:rsidR="00776433">
        <w:rPr>
          <w:sz w:val="16"/>
          <w:szCs w:val="16"/>
        </w:rPr>
        <w:t xml:space="preserve"> </w:t>
      </w:r>
      <w:r w:rsidRPr="00A571CB">
        <w:rPr>
          <w:sz w:val="16"/>
          <w:szCs w:val="16"/>
        </w:rPr>
        <w:t>price fluctuations caused by interest rate changes</w:t>
      </w:r>
    </w:p>
    <w:p w14:paraId="1DD17D9F" w14:textId="4DFD5249" w:rsidR="00427ADE" w:rsidRPr="00A571CB" w:rsidRDefault="00427ADE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Reinvestment Rate Risk – Risk associated with the rate at which coupons are reinvested</w:t>
      </w:r>
    </w:p>
    <w:p w14:paraId="7FED8E1C" w14:textId="1CA286E7" w:rsidR="00A3747F" w:rsidRPr="0067572D" w:rsidRDefault="00427ADE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Default Risk (or credit risk) – Risk associated with issuer’s ability to make payments as specified.</w:t>
      </w:r>
    </w:p>
    <w:p w14:paraId="5771D2B7" w14:textId="50B1B508" w:rsidR="00A3747F" w:rsidRPr="000901D9" w:rsidRDefault="00A3747F" w:rsidP="009B637C">
      <w:pPr>
        <w:pStyle w:val="Heading1"/>
        <w:jc w:val="center"/>
        <w:rPr>
          <w:color w:val="C0504D" w:themeColor="accent2"/>
          <w:u w:val="single"/>
        </w:rPr>
      </w:pPr>
      <w:r w:rsidRPr="000901D9">
        <w:rPr>
          <w:color w:val="C0504D" w:themeColor="accent2"/>
          <w:u w:val="single"/>
        </w:rPr>
        <w:t>Stocks</w:t>
      </w:r>
    </w:p>
    <w:p w14:paraId="4C7ACB59" w14:textId="58B4493D" w:rsidR="00A3747F" w:rsidRPr="00A571CB" w:rsidRDefault="00A3747F" w:rsidP="009B637C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Dividend Amount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(1+Discount Rate)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Expected Stock Price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(1+Discount Rate)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>+…</m:t>
          </m:r>
        </m:oMath>
      </m:oMathPara>
    </w:p>
    <w:p w14:paraId="176A8B3E" w14:textId="77777777" w:rsidR="00A3747F" w:rsidRPr="00A571CB" w:rsidRDefault="00A3747F" w:rsidP="009B637C">
      <w:pPr>
        <w:rPr>
          <w:sz w:val="16"/>
          <w:szCs w:val="16"/>
        </w:rPr>
      </w:pPr>
    </w:p>
    <w:p w14:paraId="6D6C9A72" w14:textId="348D1631" w:rsidR="00A3747F" w:rsidRPr="00A571CB" w:rsidRDefault="001D5764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DDM with Zero Growth= </m:t>
          </m:r>
          <m:acc>
            <m:ac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EPS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</m:oMath>
      </m:oMathPara>
    </w:p>
    <w:p w14:paraId="2B1E65D1" w14:textId="2DDE01B2" w:rsidR="009842F3" w:rsidRPr="00A571CB" w:rsidRDefault="009842F3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DDM with Constant Growth= </m:t>
          </m:r>
          <m:acc>
            <m:ac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(R-g)</m:t>
              </m:r>
            </m:den>
          </m:f>
        </m:oMath>
      </m:oMathPara>
    </w:p>
    <w:p w14:paraId="482F5CF5" w14:textId="77777777" w:rsidR="009842F3" w:rsidRPr="00A571CB" w:rsidRDefault="009842F3" w:rsidP="009B637C">
      <w:pPr>
        <w:rPr>
          <w:sz w:val="16"/>
          <w:szCs w:val="16"/>
        </w:rPr>
      </w:pPr>
    </w:p>
    <w:p w14:paraId="5C0DFAE5" w14:textId="6EDFEE42" w:rsidR="009842F3" w:rsidRPr="00A571CB" w:rsidRDefault="009842F3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Expected Rate of Return on Constant Growth Stock=</m:t>
          </m:r>
          <m:acc>
            <m:ac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acc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 xml:space="preserve">+g </m:t>
          </m:r>
        </m:oMath>
      </m:oMathPara>
    </w:p>
    <w:p w14:paraId="35701C01" w14:textId="1A36E937" w:rsidR="009842F3" w:rsidRPr="00A571CB" w:rsidRDefault="009842F3" w:rsidP="009B637C">
      <w:pPr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=Expected Dividend Yield</m:t>
          </m:r>
        </m:oMath>
      </m:oMathPara>
    </w:p>
    <w:p w14:paraId="479D99AE" w14:textId="041D729E" w:rsidR="009842F3" w:rsidRPr="00A571CB" w:rsidRDefault="009842F3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G = Expected growth rate</w:t>
      </w:r>
    </w:p>
    <w:p w14:paraId="36017A34" w14:textId="77777777" w:rsidR="00A90674" w:rsidRPr="00A571CB" w:rsidRDefault="00A90674" w:rsidP="009B637C">
      <w:pPr>
        <w:rPr>
          <w:sz w:val="16"/>
          <w:szCs w:val="16"/>
        </w:rPr>
      </w:pPr>
    </w:p>
    <w:p w14:paraId="44AD8AC6" w14:textId="0958B9D3" w:rsidR="00A3747F" w:rsidRPr="00A571CB" w:rsidRDefault="00A90674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Amortized Loan Amount=C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[(1-(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1+r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n]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</m:oMath>
      </m:oMathPara>
    </w:p>
    <w:p w14:paraId="4E711255" w14:textId="77777777" w:rsidR="00427ADE" w:rsidRDefault="00427ADE" w:rsidP="009B637C"/>
    <w:p w14:paraId="62D93120" w14:textId="16FBAB67" w:rsidR="00427ADE" w:rsidRPr="00A571CB" w:rsidRDefault="00427ADE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LT bonds are subject to greater interest rate risk.</w:t>
      </w:r>
    </w:p>
    <w:p w14:paraId="413E8832" w14:textId="0E5A4ABB" w:rsidR="00427ADE" w:rsidRPr="00A571CB" w:rsidRDefault="00427ADE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ST bonds are subject to greater reinvestment risk</w:t>
      </w:r>
    </w:p>
    <w:p w14:paraId="7458F1BD" w14:textId="0206D1D0" w:rsidR="006854E2" w:rsidRPr="00A571CB" w:rsidRDefault="00427ADE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Both LT and ST bonds are subject to reinvestment risk on coupons</w:t>
      </w:r>
    </w:p>
    <w:p w14:paraId="62FF3A8D" w14:textId="594C0310" w:rsidR="00441217" w:rsidRPr="00A571CB" w:rsidRDefault="00BF5BDF" w:rsidP="009B637C">
      <w:pPr>
        <w:pStyle w:val="Heading2"/>
        <w:jc w:val="center"/>
        <w:rPr>
          <w:sz w:val="20"/>
          <w:szCs w:val="20"/>
        </w:rPr>
      </w:pPr>
      <w:r w:rsidRPr="00A571CB">
        <w:rPr>
          <w:sz w:val="20"/>
          <w:szCs w:val="20"/>
        </w:rPr>
        <w:t>Present Value &amp; Future Value</w:t>
      </w:r>
    </w:p>
    <w:p w14:paraId="5A110079" w14:textId="7F976BF5" w:rsidR="00BF5BDF" w:rsidRPr="00A571CB" w:rsidRDefault="00C50A60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FV=$1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1+r</m:t>
              </m:r>
            </m:e>
          </m:d>
          <m:r>
            <w:rPr>
              <w:rFonts w:ascii="Cambria Math" w:hAnsi="Cambria Math"/>
              <w:sz w:val="16"/>
              <w:szCs w:val="16"/>
            </w:rPr>
            <m:t>t</m:t>
          </m:r>
        </m:oMath>
      </m:oMathPara>
    </w:p>
    <w:p w14:paraId="27B7DD74" w14:textId="335BD7E0" w:rsidR="00C50A60" w:rsidRPr="00A571CB" w:rsidRDefault="00C50A60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PV=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$1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1+r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den>
          </m:f>
        </m:oMath>
      </m:oMathPara>
    </w:p>
    <w:p w14:paraId="6962B560" w14:textId="5AD354CB" w:rsidR="00C50A60" w:rsidRPr="00A571CB" w:rsidRDefault="00C50A60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Annuity PV=c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(1-[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1+r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</m:oMath>
      </m:oMathPara>
    </w:p>
    <w:p w14:paraId="7868DD5D" w14:textId="21CA7848" w:rsidR="00C50A60" w:rsidRPr="00A571CB" w:rsidRDefault="00105726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PV of a Perpetuity=</m:t>
          </m:r>
          <m:f>
            <m:fPr>
              <m:type m:val="lin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</m:oMath>
      </m:oMathPara>
    </w:p>
    <w:p w14:paraId="2C503097" w14:textId="3B5AEFE8" w:rsidR="001E521B" w:rsidRPr="00A571CB" w:rsidRDefault="001E521B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Growing Annuity PV=C (</m:t>
          </m:r>
          <m:r>
            <w:rPr>
              <w:rFonts w:ascii="Cambria Math" w:hAnsi="Cambria Math"/>
              <w:sz w:val="16"/>
              <w:szCs w:val="16"/>
            </w:rPr>
            <m:t>x)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(1-[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1+g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1+r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]t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(r-g)</m:t>
              </m:r>
            </m:den>
          </m:f>
        </m:oMath>
      </m:oMathPara>
    </w:p>
    <w:p w14:paraId="2931819D" w14:textId="0C83C3C5" w:rsidR="00C50A60" w:rsidRPr="00A571CB" w:rsidRDefault="0007318A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Growing Perpetui</m:t>
          </m:r>
          <m:r>
            <w:rPr>
              <w:rFonts w:ascii="Cambria Math" w:hAnsi="Cambria Math"/>
              <w:sz w:val="16"/>
              <w:szCs w:val="16"/>
            </w:rPr>
            <m:t>ty PV=C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r-g</m:t>
                  </m:r>
                </m:e>
              </m:d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(r-g)</m:t>
              </m:r>
            </m:den>
          </m:f>
        </m:oMath>
      </m:oMathPara>
    </w:p>
    <w:p w14:paraId="2F56B5CE" w14:textId="60A9C52E" w:rsidR="0041063D" w:rsidRPr="00A571CB" w:rsidRDefault="00BD5AB9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EAR=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Quoted Rate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m-1</m:t>
          </m:r>
        </m:oMath>
      </m:oMathPara>
    </w:p>
    <w:p w14:paraId="35053ACA" w14:textId="23FF7CA2" w:rsidR="006E1C1D" w:rsidRPr="00A571CB" w:rsidRDefault="00BD5AB9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Pure Discount Loan PV=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Loan Amount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1+i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den>
          </m:f>
        </m:oMath>
      </m:oMathPara>
    </w:p>
    <w:p w14:paraId="04D31CE8" w14:textId="5C70BA4F" w:rsidR="001418C2" w:rsidRPr="00A571CB" w:rsidRDefault="007233B7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Amortized Loan Amount=C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[(1-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1+i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den>
          </m:f>
        </m:oMath>
      </m:oMathPara>
    </w:p>
    <w:p w14:paraId="2F2D0D13" w14:textId="1B8DBBA7" w:rsidR="00BF37CB" w:rsidRPr="00A571CB" w:rsidRDefault="00BF37CB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Current Yiel</m:t>
          </m:r>
          <m:r>
            <w:rPr>
              <w:rFonts w:ascii="Cambria Math" w:hAnsi="Cambria Math"/>
              <w:sz w:val="16"/>
              <w:szCs w:val="16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Bonds Annual Coupons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Price</m:t>
              </m:r>
            </m:den>
          </m:f>
        </m:oMath>
      </m:oMathPara>
    </w:p>
    <w:p w14:paraId="22D04EAF" w14:textId="77777777" w:rsidR="006E1C1D" w:rsidRDefault="006E1C1D" w:rsidP="009B637C"/>
    <w:p w14:paraId="12C5E167" w14:textId="5D4487B6" w:rsidR="006E1C1D" w:rsidRPr="00A571CB" w:rsidRDefault="006E1C1D" w:rsidP="009B637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Bond Value=C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 xml:space="preserve"> [1-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1+r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1+r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den>
          </m:f>
        </m:oMath>
      </m:oMathPara>
    </w:p>
    <w:p w14:paraId="7476100E" w14:textId="77777777" w:rsidR="00441217" w:rsidRDefault="00441217" w:rsidP="009B637C">
      <w:pPr>
        <w:rPr>
          <w:sz w:val="17"/>
          <w:szCs w:val="17"/>
        </w:rPr>
      </w:pPr>
    </w:p>
    <w:p w14:paraId="2F6AE7DF" w14:textId="77777777" w:rsidR="006E1C1D" w:rsidRDefault="006E1C1D" w:rsidP="009B637C">
      <w:pPr>
        <w:rPr>
          <w:sz w:val="17"/>
          <w:szCs w:val="17"/>
        </w:rPr>
      </w:pPr>
    </w:p>
    <w:p w14:paraId="334E255D" w14:textId="7EB02857" w:rsidR="006E1C1D" w:rsidRPr="00A571CB" w:rsidRDefault="006E1C1D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C = Coupon paid each period</w:t>
      </w:r>
    </w:p>
    <w:p w14:paraId="57FC21F9" w14:textId="4B02B841" w:rsidR="006E1C1D" w:rsidRPr="00A571CB" w:rsidRDefault="006E1C1D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r = Rate per period</w:t>
      </w:r>
    </w:p>
    <w:p w14:paraId="7A3FBEE8" w14:textId="7E7D86DE" w:rsidR="006E1C1D" w:rsidRPr="00A571CB" w:rsidRDefault="006E1C1D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t = Number of periods</w:t>
      </w:r>
    </w:p>
    <w:p w14:paraId="1B063D56" w14:textId="0DFE1085" w:rsidR="006E1C1D" w:rsidRPr="00A571CB" w:rsidRDefault="006E1C1D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F = Bond’s face value</w:t>
      </w:r>
    </w:p>
    <w:p w14:paraId="4E1D96EB" w14:textId="77777777" w:rsidR="00010C30" w:rsidRPr="00A571CB" w:rsidRDefault="00010C30" w:rsidP="009B637C">
      <w:pPr>
        <w:rPr>
          <w:sz w:val="16"/>
          <w:szCs w:val="16"/>
        </w:rPr>
      </w:pPr>
    </w:p>
    <w:p w14:paraId="06AE470D" w14:textId="77777777" w:rsidR="00010C30" w:rsidRPr="00A571CB" w:rsidRDefault="00010C30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Cash Flows from Operating Activities</w:t>
      </w:r>
    </w:p>
    <w:p w14:paraId="60338EFC" w14:textId="66E86DAD" w:rsidR="00010C30" w:rsidRPr="00A571CB" w:rsidRDefault="00010C30" w:rsidP="009B637C">
      <w:pPr>
        <w:ind w:firstLine="720"/>
        <w:rPr>
          <w:sz w:val="16"/>
          <w:szCs w:val="16"/>
        </w:rPr>
      </w:pPr>
      <w:r w:rsidRPr="00A571CB">
        <w:rPr>
          <w:sz w:val="16"/>
          <w:szCs w:val="16"/>
        </w:rPr>
        <w:t>Cash flows from company's primary business activities. E.g. Production and delivery of goods &amp; services for sale. Reflects cash effects of transaction, which are included in the determination of N.I.</w:t>
      </w:r>
    </w:p>
    <w:p w14:paraId="23ADA28D" w14:textId="77777777" w:rsidR="00010C30" w:rsidRPr="00A571CB" w:rsidRDefault="00010C30" w:rsidP="009B637C">
      <w:pPr>
        <w:rPr>
          <w:sz w:val="16"/>
          <w:szCs w:val="16"/>
        </w:rPr>
      </w:pPr>
    </w:p>
    <w:p w14:paraId="6CD49AD7" w14:textId="77777777" w:rsidR="00010C30" w:rsidRPr="00A571CB" w:rsidRDefault="00010C30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Cash Flows from Investing Activities</w:t>
      </w:r>
    </w:p>
    <w:p w14:paraId="5741B66A" w14:textId="33451015" w:rsidR="00010C30" w:rsidRPr="00A571CB" w:rsidRDefault="00010C30" w:rsidP="009B637C">
      <w:pPr>
        <w:ind w:firstLine="720"/>
        <w:rPr>
          <w:sz w:val="16"/>
          <w:szCs w:val="16"/>
        </w:rPr>
      </w:pPr>
      <w:r w:rsidRPr="00A571CB">
        <w:rPr>
          <w:sz w:val="16"/>
          <w:szCs w:val="16"/>
        </w:rPr>
        <w:t>Cash flows from a company's activities relating to asset acquisition and disposal.</w:t>
      </w:r>
    </w:p>
    <w:p w14:paraId="7F0E3209" w14:textId="77777777" w:rsidR="00010C30" w:rsidRPr="00A571CB" w:rsidRDefault="00010C30" w:rsidP="009B637C">
      <w:pPr>
        <w:rPr>
          <w:sz w:val="16"/>
          <w:szCs w:val="16"/>
        </w:rPr>
      </w:pPr>
    </w:p>
    <w:p w14:paraId="3F4D50B3" w14:textId="77777777" w:rsidR="00010C30" w:rsidRPr="00A571CB" w:rsidRDefault="00010C30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Cash Flows from Financing Activities</w:t>
      </w:r>
    </w:p>
    <w:p w14:paraId="5EA28A10" w14:textId="141DAC3C" w:rsidR="00010C30" w:rsidRPr="00A571CB" w:rsidRDefault="00010C30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ab/>
        <w:t>Cash flows from a company's activities relating to the receipt and repayment of funds provided by creditors and investors.</w:t>
      </w:r>
    </w:p>
    <w:p w14:paraId="2D1BCEEC" w14:textId="77777777" w:rsidR="0064342F" w:rsidRPr="00A571CB" w:rsidRDefault="0064342F" w:rsidP="009B637C">
      <w:pPr>
        <w:rPr>
          <w:sz w:val="16"/>
          <w:szCs w:val="16"/>
        </w:rPr>
      </w:pPr>
    </w:p>
    <w:p w14:paraId="1EDE0E06" w14:textId="4268DE68" w:rsidR="0064342F" w:rsidRPr="00A571CB" w:rsidRDefault="005D6C10" w:rsidP="009B637C">
      <w:pPr>
        <w:pStyle w:val="Heading2"/>
        <w:jc w:val="center"/>
        <w:rPr>
          <w:sz w:val="16"/>
          <w:szCs w:val="16"/>
        </w:rPr>
      </w:pPr>
      <w:r w:rsidRPr="00A571CB">
        <w:rPr>
          <w:sz w:val="16"/>
          <w:szCs w:val="16"/>
        </w:rPr>
        <w:t>Indirect Method</w:t>
      </w:r>
      <w:r w:rsidR="003E22E4">
        <w:rPr>
          <w:sz w:val="16"/>
          <w:szCs w:val="16"/>
        </w:rPr>
        <w:t xml:space="preserve"> for C.F.</w:t>
      </w:r>
      <w:bookmarkStart w:id="0" w:name="_GoBack"/>
      <w:bookmarkEnd w:id="0"/>
    </w:p>
    <w:p w14:paraId="47CCD14C" w14:textId="16B894ED" w:rsidR="0064342F" w:rsidRPr="00A571CB" w:rsidRDefault="0064342F" w:rsidP="009B637C">
      <w:pPr>
        <w:rPr>
          <w:sz w:val="16"/>
          <w:szCs w:val="16"/>
        </w:rPr>
      </w:pPr>
      <w:r w:rsidRPr="00A571CB">
        <w:rPr>
          <w:sz w:val="16"/>
          <w:szCs w:val="16"/>
        </w:rPr>
        <w:t>NI Before Dividends</w:t>
      </w:r>
    </w:p>
    <w:p w14:paraId="131138B1" w14:textId="4A6DB8A9" w:rsidR="0064342F" w:rsidRPr="00A571CB" w:rsidRDefault="0064342F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>+ non-cash expenses (Depreciation, depletion, amortization)</w:t>
      </w:r>
    </w:p>
    <w:p w14:paraId="7F35B500" w14:textId="69631DD9" w:rsidR="0064342F" w:rsidRPr="00A571CB" w:rsidRDefault="0064342F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>+ decreases in assets</w:t>
      </w:r>
    </w:p>
    <w:p w14:paraId="2D695464" w14:textId="10BF1616" w:rsidR="0064342F" w:rsidRPr="00A571CB" w:rsidRDefault="0064342F" w:rsidP="009B637C">
      <w:pPr>
        <w:ind w:left="360"/>
        <w:rPr>
          <w:sz w:val="16"/>
          <w:szCs w:val="16"/>
        </w:rPr>
      </w:pPr>
      <w:r w:rsidRPr="00A571CB">
        <w:rPr>
          <w:sz w:val="16"/>
          <w:szCs w:val="16"/>
        </w:rPr>
        <w:t>+ increases in liabilities</w:t>
      </w:r>
    </w:p>
    <w:p w14:paraId="0DBF0111" w14:textId="66F98C5F" w:rsidR="0064342F" w:rsidRPr="00A571CB" w:rsidRDefault="0064342F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>- increases in assets</w:t>
      </w:r>
    </w:p>
    <w:p w14:paraId="7398B00E" w14:textId="177D8159" w:rsidR="0064342F" w:rsidRPr="00A571CB" w:rsidRDefault="0064342F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>- decreases in liabilities</w:t>
      </w:r>
    </w:p>
    <w:p w14:paraId="44D7E1DD" w14:textId="2900AD69" w:rsidR="0064342F" w:rsidRPr="00A571CB" w:rsidRDefault="0064342F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>= C.F. from Operating Activities</w:t>
      </w:r>
    </w:p>
    <w:p w14:paraId="6EE1A63A" w14:textId="77777777" w:rsidR="005D6C10" w:rsidRPr="00A571CB" w:rsidRDefault="005D6C10" w:rsidP="009B637C">
      <w:pPr>
        <w:ind w:firstLine="360"/>
        <w:rPr>
          <w:sz w:val="16"/>
          <w:szCs w:val="16"/>
        </w:rPr>
      </w:pPr>
    </w:p>
    <w:p w14:paraId="61B2EF9C" w14:textId="7D98F56D" w:rsidR="005D6C10" w:rsidRPr="00A571CB" w:rsidRDefault="005D6C10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>Purchase or Sale of Security</w:t>
      </w:r>
    </w:p>
    <w:p w14:paraId="289F2D48" w14:textId="607452E0" w:rsidR="005D6C10" w:rsidRPr="00A571CB" w:rsidRDefault="005D6C10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±</m:t>
        </m:r>
      </m:oMath>
      <w:r w:rsidRPr="00A571CB">
        <w:rPr>
          <w:sz w:val="16"/>
          <w:szCs w:val="16"/>
        </w:rPr>
        <w:t xml:space="preserve"> Securities issued or repurchased</w:t>
      </w:r>
    </w:p>
    <w:p w14:paraId="7CE5A00B" w14:textId="2D021EFE" w:rsidR="005D6C10" w:rsidRPr="00A571CB" w:rsidRDefault="005D6C10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±</m:t>
        </m:r>
      </m:oMath>
      <w:r w:rsidRPr="00A571CB">
        <w:rPr>
          <w:sz w:val="16"/>
          <w:szCs w:val="16"/>
        </w:rPr>
        <w:t xml:space="preserve"> </w:t>
      </w:r>
      <w:r w:rsidR="007F6A87" w:rsidRPr="00A571CB">
        <w:rPr>
          <w:sz w:val="16"/>
          <w:szCs w:val="16"/>
        </w:rPr>
        <w:t xml:space="preserve">Δ </w:t>
      </w:r>
      <w:r w:rsidRPr="00A571CB">
        <w:rPr>
          <w:sz w:val="16"/>
          <w:szCs w:val="16"/>
        </w:rPr>
        <w:t>Principal on securities</w:t>
      </w:r>
    </w:p>
    <w:p w14:paraId="5C8B451E" w14:textId="529A8B89" w:rsidR="005D6C10" w:rsidRPr="00A571CB" w:rsidRDefault="005D6C10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±</m:t>
        </m:r>
      </m:oMath>
      <w:r w:rsidRPr="00A571CB">
        <w:rPr>
          <w:sz w:val="16"/>
          <w:szCs w:val="16"/>
        </w:rPr>
        <w:t xml:space="preserve"> </w:t>
      </w:r>
      <w:r w:rsidR="007F6A87" w:rsidRPr="00A571CB">
        <w:rPr>
          <w:sz w:val="16"/>
          <w:szCs w:val="16"/>
        </w:rPr>
        <w:t xml:space="preserve">Δ </w:t>
      </w:r>
      <w:r w:rsidRPr="00A571CB">
        <w:rPr>
          <w:sz w:val="16"/>
          <w:szCs w:val="16"/>
        </w:rPr>
        <w:t>in L.T. Asset</w:t>
      </w:r>
    </w:p>
    <w:p w14:paraId="5DAB063F" w14:textId="717E1623" w:rsidR="005D6C10" w:rsidRPr="00A571CB" w:rsidRDefault="005D6C10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>= C.F. from Investing Activities</w:t>
      </w:r>
    </w:p>
    <w:p w14:paraId="0DAD9E4F" w14:textId="77777777" w:rsidR="005D6C10" w:rsidRPr="00A571CB" w:rsidRDefault="005D6C10" w:rsidP="009B637C">
      <w:pPr>
        <w:ind w:firstLine="360"/>
        <w:rPr>
          <w:sz w:val="16"/>
          <w:szCs w:val="16"/>
        </w:rPr>
      </w:pPr>
    </w:p>
    <w:p w14:paraId="664DEA8D" w14:textId="05D51673" w:rsidR="005D6C10" w:rsidRPr="00A571CB" w:rsidRDefault="007F6A87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 xml:space="preserve">Δ </w:t>
      </w:r>
      <w:r w:rsidR="00541108" w:rsidRPr="00A571CB">
        <w:rPr>
          <w:sz w:val="16"/>
          <w:szCs w:val="16"/>
        </w:rPr>
        <w:t>in notes payable (use vs. source of cash)</w:t>
      </w:r>
    </w:p>
    <w:p w14:paraId="06D41B5F" w14:textId="15D3F900" w:rsidR="00541108" w:rsidRPr="00A571CB" w:rsidRDefault="007F6A87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±</m:t>
        </m:r>
      </m:oMath>
      <w:r w:rsidRPr="00A571CB">
        <w:rPr>
          <w:sz w:val="16"/>
          <w:szCs w:val="16"/>
        </w:rPr>
        <w:t xml:space="preserve"> Δ L.T. Debt</w:t>
      </w:r>
    </w:p>
    <w:p w14:paraId="54879F61" w14:textId="60C8FDB7" w:rsidR="007F6A87" w:rsidRPr="00A571CB" w:rsidRDefault="007F6A87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±</m:t>
        </m:r>
      </m:oMath>
      <w:r w:rsidRPr="00A571CB">
        <w:rPr>
          <w:sz w:val="16"/>
          <w:szCs w:val="16"/>
        </w:rPr>
        <w:t xml:space="preserve">  Preferred or Common Stock on B/S</w:t>
      </w:r>
    </w:p>
    <w:p w14:paraId="3A4CBCF4" w14:textId="7F28A8E6" w:rsidR="007F6A87" w:rsidRPr="00A571CB" w:rsidRDefault="007F6A87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ab/>
        <w:t>+ Dividend Payments</w:t>
      </w:r>
    </w:p>
    <w:p w14:paraId="2CF99DD4" w14:textId="55E48C6B" w:rsidR="007F6A87" w:rsidRPr="00A571CB" w:rsidRDefault="007F6A87" w:rsidP="009B637C">
      <w:pPr>
        <w:ind w:firstLine="360"/>
        <w:rPr>
          <w:sz w:val="16"/>
          <w:szCs w:val="16"/>
        </w:rPr>
      </w:pPr>
      <w:r w:rsidRPr="00A571CB">
        <w:rPr>
          <w:sz w:val="16"/>
          <w:szCs w:val="16"/>
        </w:rPr>
        <w:t>= C.F. from Financing Activities</w:t>
      </w:r>
    </w:p>
    <w:p w14:paraId="1B36165B" w14:textId="77777777" w:rsidR="00A571CB" w:rsidRDefault="00A571CB" w:rsidP="009B637C">
      <w:pPr>
        <w:ind w:firstLine="360"/>
        <w:rPr>
          <w:sz w:val="17"/>
          <w:szCs w:val="17"/>
        </w:rPr>
      </w:pPr>
    </w:p>
    <w:p w14:paraId="05047488" w14:textId="77777777" w:rsidR="00A571CB" w:rsidRDefault="00A571CB" w:rsidP="009B637C">
      <w:pPr>
        <w:ind w:firstLine="360"/>
        <w:rPr>
          <w:sz w:val="17"/>
          <w:szCs w:val="17"/>
        </w:rPr>
      </w:pPr>
    </w:p>
    <w:p w14:paraId="16F74639" w14:textId="77777777" w:rsidR="00A571CB" w:rsidRPr="0064342F" w:rsidRDefault="00A571CB" w:rsidP="009B637C">
      <w:pPr>
        <w:ind w:firstLine="360"/>
        <w:rPr>
          <w:sz w:val="17"/>
          <w:szCs w:val="17"/>
        </w:rPr>
      </w:pPr>
    </w:p>
    <w:sectPr w:rsidR="00A571CB" w:rsidRPr="0064342F" w:rsidSect="009B637C">
      <w:pgSz w:w="12240" w:h="15840"/>
      <w:pgMar w:top="720" w:right="720" w:bottom="720" w:left="720" w:header="720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954EA" w14:textId="77777777" w:rsidR="0067572D" w:rsidRDefault="0067572D" w:rsidP="009B637C">
      <w:r>
        <w:separator/>
      </w:r>
    </w:p>
  </w:endnote>
  <w:endnote w:type="continuationSeparator" w:id="0">
    <w:p w14:paraId="0BD77D27" w14:textId="77777777" w:rsidR="0067572D" w:rsidRDefault="0067572D" w:rsidP="009B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82B71" w14:textId="77777777" w:rsidR="0067572D" w:rsidRDefault="0067572D" w:rsidP="009B637C">
      <w:r>
        <w:separator/>
      </w:r>
    </w:p>
  </w:footnote>
  <w:footnote w:type="continuationSeparator" w:id="0">
    <w:p w14:paraId="63FD8DB4" w14:textId="77777777" w:rsidR="0067572D" w:rsidRDefault="0067572D" w:rsidP="009B6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1A53"/>
    <w:multiLevelType w:val="hybridMultilevel"/>
    <w:tmpl w:val="6D0490CA"/>
    <w:lvl w:ilvl="0" w:tplc="731C6A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687E"/>
    <w:multiLevelType w:val="hybridMultilevel"/>
    <w:tmpl w:val="01929B04"/>
    <w:lvl w:ilvl="0" w:tplc="550AB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6CA1A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41C2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EAC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7206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6422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E048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EC69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AC69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66B14FA9"/>
    <w:multiLevelType w:val="hybridMultilevel"/>
    <w:tmpl w:val="5EEC1040"/>
    <w:lvl w:ilvl="0" w:tplc="47D2CA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852FF"/>
    <w:multiLevelType w:val="hybridMultilevel"/>
    <w:tmpl w:val="D6D405A8"/>
    <w:lvl w:ilvl="0" w:tplc="10E686A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17"/>
    <w:rsid w:val="00010C30"/>
    <w:rsid w:val="0007318A"/>
    <w:rsid w:val="0007751D"/>
    <w:rsid w:val="000901D9"/>
    <w:rsid w:val="0009076D"/>
    <w:rsid w:val="00095319"/>
    <w:rsid w:val="000A2FFD"/>
    <w:rsid w:val="00105726"/>
    <w:rsid w:val="001418C2"/>
    <w:rsid w:val="00157F4B"/>
    <w:rsid w:val="00166F6D"/>
    <w:rsid w:val="00197F19"/>
    <w:rsid w:val="001D5764"/>
    <w:rsid w:val="001D74E0"/>
    <w:rsid w:val="001E521B"/>
    <w:rsid w:val="002A3551"/>
    <w:rsid w:val="002C0EF3"/>
    <w:rsid w:val="003371F6"/>
    <w:rsid w:val="00344788"/>
    <w:rsid w:val="00373978"/>
    <w:rsid w:val="00387903"/>
    <w:rsid w:val="003E22E4"/>
    <w:rsid w:val="003F63A3"/>
    <w:rsid w:val="00404A75"/>
    <w:rsid w:val="0041063D"/>
    <w:rsid w:val="00417113"/>
    <w:rsid w:val="0042098C"/>
    <w:rsid w:val="00427ADE"/>
    <w:rsid w:val="004316C8"/>
    <w:rsid w:val="00441217"/>
    <w:rsid w:val="00445428"/>
    <w:rsid w:val="004865B0"/>
    <w:rsid w:val="00506996"/>
    <w:rsid w:val="00541108"/>
    <w:rsid w:val="00577ECB"/>
    <w:rsid w:val="00593CD1"/>
    <w:rsid w:val="005A7611"/>
    <w:rsid w:val="005D6C10"/>
    <w:rsid w:val="0061656B"/>
    <w:rsid w:val="0064342F"/>
    <w:rsid w:val="0067572D"/>
    <w:rsid w:val="006854E2"/>
    <w:rsid w:val="006C604D"/>
    <w:rsid w:val="006E1C1D"/>
    <w:rsid w:val="007233B7"/>
    <w:rsid w:val="0076065C"/>
    <w:rsid w:val="0076124C"/>
    <w:rsid w:val="00776433"/>
    <w:rsid w:val="007A2403"/>
    <w:rsid w:val="007F15AF"/>
    <w:rsid w:val="007F6A87"/>
    <w:rsid w:val="00837E39"/>
    <w:rsid w:val="00853F4D"/>
    <w:rsid w:val="00880025"/>
    <w:rsid w:val="008C2034"/>
    <w:rsid w:val="008D69F2"/>
    <w:rsid w:val="008E2A61"/>
    <w:rsid w:val="0090685F"/>
    <w:rsid w:val="009842F3"/>
    <w:rsid w:val="00992CA3"/>
    <w:rsid w:val="009A52AB"/>
    <w:rsid w:val="009B637C"/>
    <w:rsid w:val="009C6AAD"/>
    <w:rsid w:val="00A15DA4"/>
    <w:rsid w:val="00A27CF1"/>
    <w:rsid w:val="00A3747F"/>
    <w:rsid w:val="00A571CB"/>
    <w:rsid w:val="00A77D0E"/>
    <w:rsid w:val="00A83DAC"/>
    <w:rsid w:val="00A87EF7"/>
    <w:rsid w:val="00A90674"/>
    <w:rsid w:val="00AB5072"/>
    <w:rsid w:val="00AF6368"/>
    <w:rsid w:val="00B74E90"/>
    <w:rsid w:val="00BA393F"/>
    <w:rsid w:val="00BD1448"/>
    <w:rsid w:val="00BD2B90"/>
    <w:rsid w:val="00BD5AB9"/>
    <w:rsid w:val="00BE6BA6"/>
    <w:rsid w:val="00BF37CB"/>
    <w:rsid w:val="00BF5BDF"/>
    <w:rsid w:val="00C50A60"/>
    <w:rsid w:val="00C60467"/>
    <w:rsid w:val="00C93610"/>
    <w:rsid w:val="00CD1CBA"/>
    <w:rsid w:val="00CD5AE8"/>
    <w:rsid w:val="00CE788D"/>
    <w:rsid w:val="00D5610A"/>
    <w:rsid w:val="00D6247A"/>
    <w:rsid w:val="00D80E17"/>
    <w:rsid w:val="00D95829"/>
    <w:rsid w:val="00E21E51"/>
    <w:rsid w:val="00E23987"/>
    <w:rsid w:val="00E61A11"/>
    <w:rsid w:val="00E668D6"/>
    <w:rsid w:val="00E857D9"/>
    <w:rsid w:val="00EA25CF"/>
    <w:rsid w:val="00EE27F9"/>
    <w:rsid w:val="00F37239"/>
    <w:rsid w:val="00F70D24"/>
    <w:rsid w:val="00F721C6"/>
    <w:rsid w:val="00F74B12"/>
    <w:rsid w:val="00F81493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A2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E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2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2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1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7E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E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63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37C"/>
  </w:style>
  <w:style w:type="paragraph" w:styleId="Footer">
    <w:name w:val="footer"/>
    <w:basedOn w:val="Normal"/>
    <w:link w:val="FooterChar"/>
    <w:uiPriority w:val="99"/>
    <w:unhideWhenUsed/>
    <w:rsid w:val="009B63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3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E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2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2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1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7E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E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63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37C"/>
  </w:style>
  <w:style w:type="paragraph" w:styleId="Footer">
    <w:name w:val="footer"/>
    <w:basedOn w:val="Normal"/>
    <w:link w:val="FooterChar"/>
    <w:uiPriority w:val="99"/>
    <w:unhideWhenUsed/>
    <w:rsid w:val="009B63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F6501-77CA-9D44-8D9F-35604366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1137</Words>
  <Characters>6486</Characters>
  <Application>Microsoft Macintosh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97</cp:revision>
  <cp:lastPrinted>2013-06-14T14:31:00Z</cp:lastPrinted>
  <dcterms:created xsi:type="dcterms:W3CDTF">2013-06-12T00:08:00Z</dcterms:created>
  <dcterms:modified xsi:type="dcterms:W3CDTF">2013-06-14T14:33:00Z</dcterms:modified>
</cp:coreProperties>
</file>