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jc w:val="center"/>
      </w:pPr>
      <w:r>
        <w:rPr>
          <w:rFonts w:ascii="Arial" w:cs="Arial" w:eastAsia="Arial" w:hAnsi="Arial"/>
          <w:b/>
          <w:bCs/>
          <w:color w:val="1F4E79"/>
          <w:sz w:val="48"/>
          <w:szCs w:val="48"/>
        </w:rPr>
        <w:t xml:space="preserve">PLATAFORMA DE GESTIÓN DE FONDOS</w:t>
      </w:r>
    </w:p>
    <w:p>
      <w:pPr>
        <w:spacing w:after="80"/>
        <w:jc w:val="center"/>
      </w:pPr>
      <w:r>
        <w:rPr>
          <w:rFonts w:ascii="Arial" w:cs="Arial" w:eastAsia="Arial" w:hAnsi="Arial"/>
          <w:b/>
          <w:bCs/>
          <w:color w:val="2C3E50"/>
          <w:sz w:val="32"/>
          <w:szCs w:val="32"/>
        </w:rPr>
        <w:t xml:space="preserve">Informe de Estado — Proyecto 1: Ingesta y Clasificación</w:t>
      </w:r>
    </w:p>
    <w:p>
      <w:pPr>
        <w:spacing w:after="400"/>
        <w:jc w:val="center"/>
      </w:pPr>
      <w:r>
        <w:rPr>
          <w:rFonts w:ascii="Arial" w:cs="Arial" w:eastAsia="Arial" w:hAnsi="Arial"/>
          <w:color w:val="7F8C8D"/>
          <w:sz w:val="22"/>
          <w:szCs w:val="22"/>
        </w:rPr>
        <w:t xml:space="preserve">Pipeline P1  ·  Ejecución 31 de marzo de 2026  ·  22:37–22:45</w:t>
      </w:r>
    </w:p>
    <w:p>
      <w:pPr>
        <w:spacing w:after="12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200"/>
      </w:tblGrid>
      <w:tr>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E8449"/>
                <w:sz w:val="36"/>
                <w:szCs w:val="36"/>
              </w:rPr>
              <w:t xml:space="preserve">3.204</w:t>
            </w:r>
          </w:p>
          <w:p>
            <w:pPr>
              <w:jc w:val="center"/>
            </w:pPr>
            <w:r>
              <w:rPr>
                <w:rFonts w:ascii="Arial" w:cs="Arial" w:eastAsia="Arial" w:hAnsi="Arial"/>
                <w:b/>
                <w:bCs/>
                <w:color w:val="2C3E50"/>
                <w:sz w:val="16"/>
                <w:szCs w:val="16"/>
              </w:rPr>
              <w:t xml:space="preserve">Fondos en universo</w:t>
            </w:r>
          </w:p>
          <w:p>
            <w:pPr>
              <w:jc w:val="center"/>
            </w:pPr>
            <w:r>
              <w:rPr>
                <w:rFonts w:ascii="Arial" w:cs="Arial" w:eastAsia="Arial" w:hAnsi="Arial"/>
                <w:color w:val="7F8C8D"/>
                <w:sz w:val="15"/>
                <w:szCs w:val="15"/>
              </w:rPr>
              <w:t xml:space="preserve">100% procesados</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E8449"/>
                <w:sz w:val="36"/>
                <w:szCs w:val="36"/>
              </w:rPr>
              <w:t xml:space="preserve">94,9%</w:t>
            </w:r>
          </w:p>
          <w:p>
            <w:pPr>
              <w:jc w:val="center"/>
            </w:pPr>
            <w:r>
              <w:rPr>
                <w:rFonts w:ascii="Arial" w:cs="Arial" w:eastAsia="Arial" w:hAnsi="Arial"/>
                <w:b/>
                <w:bCs/>
                <w:color w:val="2C3E50"/>
                <w:sz w:val="16"/>
                <w:szCs w:val="16"/>
              </w:rPr>
              <w:t xml:space="preserve">SRRI calidad HIGH</w:t>
            </w:r>
          </w:p>
          <w:p>
            <w:pPr>
              <w:jc w:val="center"/>
            </w:pPr>
            <w:r>
              <w:rPr>
                <w:rFonts w:ascii="Arial" w:cs="Arial" w:eastAsia="Arial" w:hAnsi="Arial"/>
                <w:color w:val="7F8C8D"/>
                <w:sz w:val="15"/>
                <w:szCs w:val="15"/>
              </w:rPr>
              <w:t xml:space="preserve">3.043 fondos</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E8449"/>
                <w:sz w:val="36"/>
                <w:szCs w:val="36"/>
              </w:rPr>
              <w:t xml:space="preserve">100%</w:t>
            </w:r>
          </w:p>
          <w:p>
            <w:pPr>
              <w:jc w:val="center"/>
            </w:pPr>
            <w:r>
              <w:rPr>
                <w:rFonts w:ascii="Arial" w:cs="Arial" w:eastAsia="Arial" w:hAnsi="Arial"/>
                <w:b/>
                <w:bCs/>
                <w:color w:val="2C3E50"/>
                <w:sz w:val="16"/>
                <w:szCs w:val="16"/>
              </w:rPr>
              <w:t xml:space="preserve">Rendimiento &lt;1s</w:t>
            </w:r>
          </w:p>
          <w:p>
            <w:pPr>
              <w:jc w:val="center"/>
            </w:pPr>
            <w:r>
              <w:rPr>
                <w:rFonts w:ascii="Arial" w:cs="Arial" w:eastAsia="Arial" w:hAnsi="Arial"/>
                <w:color w:val="7F8C8D"/>
                <w:sz w:val="15"/>
                <w:szCs w:val="15"/>
              </w:rPr>
              <w:t xml:space="preserve">vs 89,6% anterior</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D68910"/>
                <w:sz w:val="36"/>
                <w:szCs w:val="36"/>
              </w:rPr>
              <w:t xml:space="preserve">64</w:t>
            </w:r>
          </w:p>
          <w:p>
            <w:pPr>
              <w:jc w:val="center"/>
            </w:pPr>
            <w:r>
              <w:rPr>
                <w:rFonts w:ascii="Arial" w:cs="Arial" w:eastAsia="Arial" w:hAnsi="Arial"/>
                <w:b/>
                <w:bCs/>
                <w:color w:val="2C3E50"/>
                <w:sz w:val="16"/>
                <w:szCs w:val="16"/>
              </w:rPr>
              <w:t xml:space="preserve">Conflictos SRRI</w:t>
            </w:r>
          </w:p>
          <w:p>
            <w:pPr>
              <w:jc w:val="center"/>
            </w:pPr>
            <w:r>
              <w:rPr>
                <w:rFonts w:ascii="Arial" w:cs="Arial" w:eastAsia="Arial" w:hAnsi="Arial"/>
                <w:color w:val="7F8C8D"/>
                <w:sz w:val="15"/>
                <w:szCs w:val="15"/>
              </w:rPr>
              <w:t xml:space="preserve">→ FORCE_REFRESH</w:t>
            </w:r>
          </w:p>
        </w:tc>
      </w:tr>
    </w:tbl>
    <w:p>
      <w:pPr>
        <w:spacing w:after="120"/>
      </w:pPr>
      <w:r>
        <w:t xml:space="preserve"/>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1  RESUMEN EJECUTIVO</w:t>
            </w:r>
          </w:p>
        </w:tc>
      </w:tr>
    </w:tbl>
    <w:p>
      <w:pPr>
        <w:spacing w:after="120"/>
      </w:pPr>
      <w:r>
        <w:t xml:space="preserve"/>
      </w:r>
    </w:p>
    <w:p>
      <w:pPr>
        <w:spacing w:after="100"/>
      </w:pPr>
      <w:r>
        <w:rPr>
          <w:rFonts w:ascii="Arial" w:cs="Arial" w:eastAsia="Arial" w:hAnsi="Arial"/>
          <w:sz w:val="20"/>
          <w:szCs w:val="20"/>
        </w:rPr>
        <w:t xml:space="preserve">El ciclo de P1 ejecutado el 31 de marzo de 2026 marca un punto de inflexión en el rendimiento de la plataforma. La corrección de la función get_kiid_for_isin — que eliminó la descarga automática de PDFs para verificación de hash en fondos ya cacheados — ha producido una mejora de rendimiento histórica: el 100% del universo (3.204 fondos) se procesa en menos de 1 segundo por fondo, frente al 89,6% del ciclo anterior y los tiempos de 18 minutos registrados la semana pasada para fondos individuales.</w:t>
      </w:r>
    </w:p>
    <w:p>
      <w:pPr>
        <w:spacing w:after="120"/>
      </w:pPr>
      <w:r>
        <w:t xml:space="preserve"/>
      </w:r>
    </w:p>
    <w:p>
      <w:pPr>
        <w:spacing w:after="100"/>
      </w:pPr>
      <w:r>
        <w:rPr>
          <w:rFonts w:ascii="Arial" w:cs="Arial" w:eastAsia="Arial" w:hAnsi="Arial"/>
          <w:sz w:val="20"/>
          <w:szCs w:val="20"/>
        </w:rPr>
        <w:t xml:space="preserve">En calidad de datos, el universo presenta una cobertura de SRRI del 99,4% con 94,9% de calidad HIGH, resultado que consolida el trabajo de extracción dual (visual + textual) y el mecanismo de desempate implementado. Los 64 conflictos SRRI identificados han sido encolados para re-extracción en el próximo ciclo mediante FORCE_REFRESH.</w:t>
      </w:r>
    </w:p>
    <w:p>
      <w:pPr>
        <w:spacing w:after="120"/>
      </w:pPr>
      <w:r>
        <w:t xml:space="preserve"/>
      </w:r>
    </w:p>
    <w:p>
      <w:pPr>
        <w:spacing w:after="100"/>
      </w:pPr>
      <w:r>
        <w:rPr>
          <w:rFonts w:ascii="Arial" w:cs="Arial" w:eastAsia="Arial" w:hAnsi="Arial"/>
          <w:sz w:val="20"/>
          <w:szCs w:val="20"/>
        </w:rPr>
        <w:t xml:space="preserve">Los principales puntos de acción pendientes son: (1) resolución de los 9 conflictos de naturaleza en familias de fondos, (2) cobertura insuficiente en atributos clave para P3 — especialmente Leverage_Used (24,3%), Benchmark_Declared (58%) y TER (73,8%) — y (3) despliegue del script mark_stale.py que no se ejecutó en este ciclo.</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2  ESTADO DEL UNIVERSO — 3.204 FONDOS</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2.1  Distribución por naturaleza</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800"/>
        <w:gridCol w:w="1100"/>
        <w:gridCol w:w="11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Fund_Nature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Fondos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SRRI medio</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 SRRI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Renta Variable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1.652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51,6%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1.647</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474</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14,8%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3,33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474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Renta Fija Flexible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454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14,2%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2,57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447</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Renta Fija Corto Plazo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429</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13,4%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2,21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429</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Monetario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1,88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Alternativo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58</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4,04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Restantes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3,36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Estructurado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8</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0,2%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8</w:t>
            </w:r>
          </w:p>
        </w:tc>
      </w:tr>
      <w:tr>
        <w:tc>
          <w:tcPr>
            <w:tcW w:type="dxa" w:w="2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TOTAL</w:t>
            </w:r>
          </w:p>
        </w:tc>
        <w:tc>
          <w:tcPr>
            <w:tcW w:type="dxa" w:w="9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3.204</w:t>
            </w:r>
          </w:p>
        </w:tc>
        <w:tc>
          <w:tcPr>
            <w:tcW w:type="dxa" w:w="8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000000"/>
                <w:sz w:val="18"/>
                <w:szCs w:val="18"/>
              </w:rPr>
              <w:t xml:space="preserve">100%</w:t>
            </w:r>
          </w:p>
        </w:tc>
        <w:tc>
          <w:tcPr>
            <w:tcW w:type="dxa" w:w="11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000000"/>
                <w:sz w:val="18"/>
                <w:szCs w:val="18"/>
              </w:rPr>
              <w:t xml:space="preserve">3,76</w:t>
            </w:r>
          </w:p>
        </w:tc>
        <w:tc>
          <w:tcPr>
            <w:tcW w:type="dxa" w:w="11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3.186</w:t>
            </w:r>
          </w:p>
        </w:tc>
      </w:tr>
    </w:tbl>
    <w:p>
      <w:pPr>
        <w:spacing w:after="120"/>
      </w:pPr>
      <w:r>
        <w:t xml:space="preserve"/>
      </w:r>
    </w:p>
    <w:p>
      <w:pPr>
        <w:spacing w:after="100"/>
      </w:pPr>
      <w:r>
        <w:rPr>
          <w:rFonts w:ascii="Arial" w:cs="Arial" w:eastAsia="Arial" w:hAnsi="Arial"/>
          <w:sz w:val="20"/>
          <w:szCs w:val="20"/>
        </w:rPr>
        <w:t xml:space="preserve">Nota: Los 27 fondos en Restantes representan el 0,8% del universo. 5 de ellos no tienen SRRI extraíble. El grupo está dominado por JPMorgan (13 fondos) y Fidelity (7 fondos), con fondos que la clasificación semántica no ha podido asignar a ninguna naturaleza con suficiente confianza. Son candidatos a revisión manual o a mejoras en las reglas de clasificación del bloque RESTANTES.</w:t>
      </w:r>
    </w:p>
    <w:p>
      <w:pPr>
        <w:spacing w:after="120"/>
      </w:pPr>
      <w:r>
        <w:t xml:space="preserve"/>
      </w:r>
    </w:p>
    <w:p>
      <w:pPr>
        <w:pStyle w:val="Heading2"/>
        <w:spacing w:before="240" w:after="120"/>
      </w:pPr>
      <w:r>
        <w:rPr>
          <w:rFonts w:ascii="Arial" w:cs="Arial" w:eastAsia="Arial" w:hAnsi="Arial"/>
          <w:b/>
          <w:bCs/>
          <w:color w:val="1F4E79"/>
          <w:sz w:val="26"/>
          <w:szCs w:val="26"/>
        </w:rPr>
        <w:t xml:space="preserve">2.2  Distribución SRRI</w:t>
      </w:r>
    </w:p>
    <w:tbl>
      <w:tblPr>
        <w:tblW w:type="dxa" w:w="65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800"/>
        <w:gridCol w:w="42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SRRI</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Fondos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Interpretación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3,5%</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Riesgo muy bajo — fondos monetarios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610</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19,1%</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Riesgo bajo — RF corto/flexible conservadora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713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22,3%</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Riesgo bajo-medio — RF flexible / mixtos defensivos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1274</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39,8%</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Riesgo medio — mixtos equilibrados / RV defensiva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429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13,4%</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Riesgo medio-alto — RV diversificada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47</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1,5%</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Riesgo alto — RV sectorial / 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0,0%</w:t>
            </w:r>
          </w:p>
        </w:tc>
        <w:tc>
          <w:tcPr>
            <w:tcW w:type="dxa" w:w="426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Riesgo muy alto — DWS ESG Blue Economy (anomalía)</w:t>
            </w:r>
          </w:p>
        </w:tc>
      </w:tr>
      <w:tr>
        <w:tc>
          <w:tcPr>
            <w:tcW w:type="dxa" w:w="6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D68910"/>
                <w:sz w:val="18"/>
                <w:szCs w:val="18"/>
              </w:rPr>
              <w:t xml:space="preserve">Sin SRRI</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18</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0,6%</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NOT_AVAILABLE — irreducibles sin intervención</w:t>
            </w:r>
          </w:p>
        </w:tc>
      </w:tr>
    </w:tbl>
    <w:p>
      <w:pPr>
        <w:spacing w:after="120"/>
      </w:pPr>
      <w:r>
        <w:t xml:space="preserve"/>
      </w:r>
    </w:p>
    <w:p>
      <w:pPr>
        <w:spacing w:after="100"/>
      </w:pPr>
      <w:r>
        <w:rPr>
          <w:rFonts w:ascii="Arial" w:cs="Arial" w:eastAsia="Arial" w:hAnsi="Arial"/>
          <w:sz w:val="20"/>
          <w:szCs w:val="20"/>
        </w:rPr>
        <w:t xml:space="preserve">La distribución está centrada en SRRI 4 (39,8%), coherente con un universo europeo dominado por renta variable diversificada de riesgo medio. El único fondo con SRRI=7 (DWS ESG BLUE ECONOMY FC EUR AC, Mixtos) presenta un valor sospechoso — este fondo tiene SRRI_Validation_Status=VISUAL_ONLY sin confirmación textual. Se recomienda revisión manual y FORCE_REFRESH para re-extracción.</w:t>
      </w:r>
    </w:p>
    <w:p>
      <w:pPr>
        <w:spacing w:after="120"/>
      </w:pPr>
      <w:r>
        <w:t xml:space="preserve"/>
      </w:r>
    </w:p>
    <w:p>
      <w:pPr>
        <w:pStyle w:val="Heading2"/>
        <w:spacing w:before="240" w:after="120"/>
      </w:pPr>
      <w:r>
        <w:rPr>
          <w:rFonts w:ascii="Arial" w:cs="Arial" w:eastAsia="Arial" w:hAnsi="Arial"/>
          <w:b/>
          <w:bCs/>
          <w:color w:val="1F4E79"/>
          <w:sz w:val="26"/>
          <w:szCs w:val="26"/>
        </w:rPr>
        <w:t xml:space="preserve">2.3  Estado KIID y descarga</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3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KIID_Status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Fondos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Significado</w:t>
            </w:r>
          </w:p>
        </w:tc>
      </w:tr>
      <w:tr>
        <w:tc>
          <w:tcPr>
            <w:tcW w:type="dxa" w:w="2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1E8449"/>
                <w:sz w:val="18"/>
                <w:szCs w:val="18"/>
              </w:rPr>
              <w:t xml:space="preserve">CACHED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2.932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91,5%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Texto en BD, sin descarga HTTP — &lt;1s de proceso</w:t>
            </w:r>
          </w:p>
        </w:tc>
      </w:tr>
      <w:tr>
        <w:tc>
          <w:tcPr>
            <w:tcW w:type="dxa" w:w="2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1F4E79"/>
                <w:sz w:val="18"/>
                <w:szCs w:val="18"/>
              </w:rPr>
              <w:t xml:space="preserve">OK</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272</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8,5%</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Descargado exitosamente en este ciclo</w:t>
            </w:r>
          </w:p>
        </w:tc>
      </w:tr>
      <w:tr>
        <w:tc>
          <w:tcPr>
            <w:tcW w:type="dxa" w:w="2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D68910"/>
                <w:sz w:val="18"/>
                <w:szCs w:val="18"/>
              </w:rPr>
              <w:t xml:space="preserve">FORCE_REFRESH</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Encolados para próximo ciclo (mark_stale pendiente)</w:t>
            </w:r>
          </w:p>
        </w:tc>
      </w:tr>
    </w:tbl>
    <w:p>
      <w:pPr>
        <w:spacing w:after="120"/>
      </w:pPr>
      <w:r>
        <w:t xml:space="preserve"/>
      </w:r>
    </w:p>
    <w:p>
      <w:pPr>
        <w:spacing w:after="100"/>
      </w:pPr>
      <w:r>
        <w:rPr>
          <w:rFonts w:ascii="Arial" w:cs="Arial" w:eastAsia="Arial" w:hAnsi="Arial"/>
          <w:sz w:val="20"/>
          <w:szCs w:val="20"/>
        </w:rPr>
        <w:t xml:space="preserve">Incidencia: KIID_Downloaded_At es NULL para 457 fondos CACHED y 21 fondos OK. Estos fondos tenían el campo vacío antes del despliegue del fix de sqlite_writer (COALESCE). Con el nuevo módulo, la fecha se preservará en ciclos futuros y se irá poblando progresivamente a medida que estos fondos entren en el ciclo de mark_stale.</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3  CALIDAD SRRI</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200"/>
      </w:tblGrid>
      <w:tr>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1E8449"/>
                <w:sz w:val="36"/>
                <w:szCs w:val="36"/>
              </w:rPr>
              <w:t xml:space="preserve">3.043</w:t>
            </w:r>
          </w:p>
          <w:p>
            <w:pPr>
              <w:jc w:val="center"/>
            </w:pPr>
            <w:r>
              <w:rPr>
                <w:rFonts w:ascii="Arial" w:cs="Arial" w:eastAsia="Arial" w:hAnsi="Arial"/>
                <w:b/>
                <w:bCs/>
                <w:color w:val="2C3E50"/>
                <w:sz w:val="16"/>
                <w:szCs w:val="16"/>
              </w:rPr>
              <w:t xml:space="preserve">MATCH (HIGH)</w:t>
            </w:r>
          </w:p>
          <w:p>
            <w:pPr>
              <w:jc w:val="center"/>
            </w:pPr>
            <w:r>
              <w:rPr>
                <w:rFonts w:ascii="Arial" w:cs="Arial" w:eastAsia="Arial" w:hAnsi="Arial"/>
                <w:color w:val="7F8C8D"/>
                <w:sz w:val="15"/>
                <w:szCs w:val="15"/>
              </w:rPr>
              <w:t xml:space="preserve">94,9% — V=T confirmado</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D68910"/>
                <w:sz w:val="36"/>
                <w:szCs w:val="36"/>
              </w:rPr>
              <w:t xml:space="preserve">77</w:t>
            </w:r>
          </w:p>
          <w:p>
            <w:pPr>
              <w:jc w:val="center"/>
            </w:pPr>
            <w:r>
              <w:rPr>
                <w:rFonts w:ascii="Arial" w:cs="Arial" w:eastAsia="Arial" w:hAnsi="Arial"/>
                <w:b/>
                <w:bCs/>
                <w:color w:val="2C3E50"/>
                <w:sz w:val="16"/>
                <w:szCs w:val="16"/>
              </w:rPr>
              <w:t xml:space="preserve">VISUAL_ONLY</w:t>
            </w:r>
          </w:p>
          <w:p>
            <w:pPr>
              <w:jc w:val="center"/>
            </w:pPr>
            <w:r>
              <w:rPr>
                <w:rFonts w:ascii="Arial" w:cs="Arial" w:eastAsia="Arial" w:hAnsi="Arial"/>
                <w:color w:val="7F8C8D"/>
                <w:sz w:val="15"/>
                <w:szCs w:val="15"/>
              </w:rPr>
              <w:t xml:space="preserve">sin confirmación textual</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C0392B"/>
                <w:sz w:val="36"/>
                <w:szCs w:val="36"/>
              </w:rPr>
              <w:t xml:space="preserve">64</w:t>
            </w:r>
          </w:p>
          <w:p>
            <w:pPr>
              <w:jc w:val="center"/>
            </w:pPr>
            <w:r>
              <w:rPr>
                <w:rFonts w:ascii="Arial" w:cs="Arial" w:eastAsia="Arial" w:hAnsi="Arial"/>
                <w:b/>
                <w:bCs/>
                <w:color w:val="2C3E50"/>
                <w:sz w:val="16"/>
                <w:szCs w:val="16"/>
              </w:rPr>
              <w:t xml:space="preserve">CONFLICT</w:t>
            </w:r>
          </w:p>
          <w:p>
            <w:pPr>
              <w:jc w:val="center"/>
            </w:pPr>
            <w:r>
              <w:rPr>
                <w:rFonts w:ascii="Arial" w:cs="Arial" w:eastAsia="Arial" w:hAnsi="Arial"/>
                <w:color w:val="7F8C8D"/>
                <w:sz w:val="15"/>
                <w:szCs w:val="15"/>
              </w:rPr>
              <w:t xml:space="preserve">→ FORCE_REFRESH</w:t>
            </w:r>
          </w:p>
        </w:tc>
        <w:tc>
          <w:tcPr>
            <w:tcW w:type="dxa" w:w="200"/>
            <w:tcBorders>
              <w:top w:val="none" w:color="FFFFFF" w:sz="0"/>
              <w:left w:val="none" w:color="FFFFFF" w:sz="0"/>
              <w:bottom w:val="none" w:color="FFFFFF" w:sz="0"/>
              <w:right w:val="none" w:color="FFFFFF" w:sz="0"/>
            </w:tcBorders>
            <w:shd w:fill="FFFFFF" w:val="clear"/>
          </w:tcPr>
          <w:p>
            <w:r>
              <w:t xml:space="preserve"/>
            </w:r>
          </w:p>
        </w:tc>
        <w:tc>
          <w:tcPr>
            <w:tcW w:type="dxa" w:w="2200"/>
            <w:tcBorders>
              <w:top w:val="none" w:color="FFFFFF" w:sz="0"/>
              <w:left w:val="none" w:color="FFFFFF" w:sz="0"/>
              <w:bottom w:val="none" w:color="FFFFFF" w:sz="0"/>
              <w:right w:val="none" w:color="FFFFFF" w:sz="0"/>
            </w:tcBorders>
            <w:shd w:fill="D6E4F0" w:val="clear"/>
            <w:tcMar>
              <w:top w:type="dxa" w:w="100"/>
              <w:left w:type="dxa" w:w="140"/>
              <w:bottom w:type="dxa" w:w="100"/>
              <w:right w:type="dxa" w:w="140"/>
            </w:tcMar>
          </w:tcPr>
          <w:p>
            <w:pPr>
              <w:jc w:val="center"/>
            </w:pPr>
            <w:r>
              <w:rPr>
                <w:rFonts w:ascii="Arial" w:cs="Arial" w:eastAsia="Arial" w:hAnsi="Arial"/>
                <w:b/>
                <w:bCs/>
                <w:color w:val="7F8C8D"/>
                <w:sz w:val="36"/>
                <w:szCs w:val="36"/>
              </w:rPr>
              <w:t xml:space="preserve">18</w:t>
            </w:r>
          </w:p>
          <w:p>
            <w:pPr>
              <w:jc w:val="center"/>
            </w:pPr>
            <w:r>
              <w:rPr>
                <w:rFonts w:ascii="Arial" w:cs="Arial" w:eastAsia="Arial" w:hAnsi="Arial"/>
                <w:b/>
                <w:bCs/>
                <w:color w:val="2C3E50"/>
                <w:sz w:val="16"/>
                <w:szCs w:val="16"/>
              </w:rPr>
              <w:t xml:space="preserve">NOT_AVAILABLE</w:t>
            </w:r>
          </w:p>
          <w:p>
            <w:pPr>
              <w:jc w:val="center"/>
            </w:pPr>
            <w:r>
              <w:rPr>
                <w:rFonts w:ascii="Arial" w:cs="Arial" w:eastAsia="Arial" w:hAnsi="Arial"/>
                <w:color w:val="7F8C8D"/>
                <w:sz w:val="15"/>
                <w:szCs w:val="15"/>
              </w:rPr>
              <w:t xml:space="preserve">irreducibles</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3.1  Validación cruzada visual / textual</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3760"/>
        <w:gridCol w:w="16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Impacto P3</w:t>
            </w:r>
          </w:p>
        </w:tc>
      </w:tr>
      <w:tr>
        <w:tc>
          <w:tcPr>
            <w:tcW w:type="dxa" w:w="18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1E8449"/>
                <w:sz w:val="18"/>
                <w:szCs w:val="18"/>
              </w:rPr>
              <w:t xml:space="preserve">MATCH</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3.043</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Visual = Textual. SRRI_Quality_Flag = 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 Sin restricción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VISUAL_ONLY</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77</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Textual no extraíble. Solo visual disponible. MEDIUM_VISUAL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 Usable, menor confianza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CONFLICT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64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Visual ≠ Textual. Encolados FORCE_REFRESH. LOW_CONFLICT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 Excluir hasta resolución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TEXT_ONLY</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Visual no disponible. Solo textual. MEDIUM_TEXT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 Usable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NOT_AVAILABLE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18</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Ni visual ni textual extraíbles. Sin SRRI canónico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 Excluidos de candidatos</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3.2  Patrón VISUAL_ONLY — Nordea (64 de 77)</w:t>
      </w:r>
    </w:p>
    <w:p>
      <w:pPr>
        <w:spacing w:after="100"/>
      </w:pPr>
      <w:r>
        <w:rPr>
          <w:rFonts w:ascii="Arial" w:cs="Arial" w:eastAsia="Arial" w:hAnsi="Arial"/>
          <w:sz w:val="20"/>
          <w:szCs w:val="20"/>
        </w:rPr>
        <w:t xml:space="preserve">El 83% de los fondos con VISUAL_ONLY corresponden a Nordea. Estos fondos tienen SRRI_Visual extraído pero SRRI_Textual=NULL — el extractor de texto no localiza el valor numérico en el cuerpo del documento. Este comportamiento es sistemático y sugiere que el formato de los KIIDs de Nordea impide la extracción textual del SRRI. Los fondos de Nordea tienen SRRI derivado únicamente del widget visual; su calidad es MEDIUM_VISUAL.</w:t>
      </w:r>
    </w:p>
    <w:p>
      <w:pPr>
        <w:spacing w:after="100"/>
      </w:pPr>
      <w:r>
        <w:rPr>
          <w:rFonts w:ascii="Arial" w:cs="Arial" w:eastAsia="Arial" w:hAnsi="Arial"/>
          <w:sz w:val="20"/>
          <w:szCs w:val="20"/>
        </w:rPr>
        <w:t xml:space="preserve">Plan de acción: Analizar un KIID de Nordea para identificar el patrón textual específico y añadir una regla en el extractor textual. Impacto potencial: +64 fondos ascenderían de MEDIUM_VISUAL a HIGH.</w:t>
      </w:r>
    </w:p>
    <w:p>
      <w:pPr>
        <w:spacing w:after="120"/>
      </w:pPr>
      <w:r>
        <w:t xml:space="preserve"/>
      </w:r>
    </w:p>
    <w:p>
      <w:pPr>
        <w:pStyle w:val="Heading2"/>
        <w:spacing w:before="240" w:after="120"/>
      </w:pPr>
      <w:r>
        <w:rPr>
          <w:rFonts w:ascii="Arial" w:cs="Arial" w:eastAsia="Arial" w:hAnsi="Arial"/>
          <w:b/>
          <w:bCs/>
          <w:color w:val="1F4E79"/>
          <w:sz w:val="26"/>
          <w:szCs w:val="26"/>
        </w:rPr>
        <w:t xml:space="preserve">3.3  Conflictos SRRI (64) — análisis</w:t>
      </w:r>
    </w:p>
    <w:p>
      <w:pPr>
        <w:spacing w:after="100"/>
      </w:pPr>
      <w:r>
        <w:rPr>
          <w:rFonts w:ascii="Arial" w:cs="Arial" w:eastAsia="Arial" w:hAnsi="Arial"/>
          <w:sz w:val="20"/>
          <w:szCs w:val="20"/>
        </w:rPr>
        <w:t xml:space="preserve">El análisis de los 64 conflictos muestra que el 75% corresponde a SRRI_Visual inflado (V &gt; T). El patrón más frecuente es V=6 / T=1 para fondos Monetarios y RF Corto Plazo (11 fondos Amundi), donde el extractor geométrico lee una celda errónea del widget. Los 64 fondos han sido marcados FORCE_REFRESH para re-extracción en el próximo ciclo con el extractor v4 mejorado (MAX_BAND_ITER=15).</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200"/>
        <w:gridCol w:w="500"/>
        <w:gridCol w:w="1700"/>
        <w:gridCol w:w="2000"/>
        <w:gridCol w:w="24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Patrón</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Naturaleza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Gestora(s)</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Diagnóstico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V=6 T=1</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Monetario / RF Corto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Amundi</w:t>
            </w:r>
          </w:p>
        </w:tc>
        <w:tc>
          <w:tcPr>
            <w:tcW w:type="dxa" w:w="246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Visual claramente erróneo — gap=5</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V=6 T=2</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7</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 RF / Monetario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JPM, Rotschild, Natixis...</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Visual probablemente erróneo — gap=4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V=7 T=4</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(R-CO Valor)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Rotschild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Visual erróneo — gap=3</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V=5 T=4</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Renta Variable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JPM, MFS, Rotschild</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Gap 1 — revisar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V=6 T=4</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Renta Variable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BNP, Fidelity, MS, BlackRock</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Gap 2 — revisar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V=1 T=3</w:t>
            </w:r>
          </w:p>
        </w:tc>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3</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RV / RF Corto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BNP, BlackRock</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Visual deflado — gap=2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Otros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Varios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Varios</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Gap 1-2 — re-extracción</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4  RENDIMIENTO DEL PIPELINE</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4.1  Evolución histórica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Ejecución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Fondos &lt;1s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Fondos &gt;10s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Tiempo máximo</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Causa principal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Semana pasada (base)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~60%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&gt;200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&gt;18 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Descarga HTTP masiva + Tesseract sin límite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Ciclo anterior (30 mar)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89,6%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153</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410s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io.py parcialmente corregido</w:t>
            </w:r>
          </w:p>
        </w:tc>
      </w:tr>
      <w:tr>
        <w:tc>
          <w:tcPr>
            <w:tcW w:type="dxa" w:w="22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Este ciclo (31 mar)</w:t>
            </w:r>
          </w:p>
        </w:tc>
        <w:tc>
          <w:tcPr>
            <w:tcW w:type="dxa" w:w="12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1E8449"/>
                <w:sz w:val="18"/>
                <w:szCs w:val="18"/>
              </w:rPr>
              <w:t xml:space="preserve">100,0%</w:t>
            </w:r>
          </w:p>
        </w:tc>
        <w:tc>
          <w:tcPr>
            <w:tcW w:type="dxa" w:w="12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1E8449"/>
                <w:sz w:val="18"/>
                <w:szCs w:val="18"/>
              </w:rPr>
              <w:t xml:space="preserve">0</w:t>
            </w:r>
          </w:p>
        </w:tc>
        <w:tc>
          <w:tcPr>
            <w:tcW w:type="dxa" w:w="14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1E8449"/>
                <w:sz w:val="18"/>
                <w:szCs w:val="18"/>
              </w:rPr>
              <w:t xml:space="preserve">&lt;1s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Fix io.py completo + COALESCE sqlite_writer</w:t>
            </w:r>
          </w:p>
        </w:tc>
      </w:tr>
    </w:tbl>
    <w:p>
      <w:pPr>
        <w:spacing w:after="120"/>
      </w:pPr>
      <w:r>
        <w:t xml:space="preserve"/>
      </w:r>
    </w:p>
    <w:p>
      <w:pPr>
        <w:spacing w:after="100"/>
      </w:pPr>
      <w:r>
        <w:rPr>
          <w:rFonts w:ascii="Arial" w:cs="Arial" w:eastAsia="Arial" w:hAnsi="Arial"/>
          <w:sz w:val="20"/>
          <w:szCs w:val="20"/>
        </w:rPr>
        <w:t xml:space="preserve">La mejora es histórica y resultado de dos correcciones arquitectónicas: (1) la función get_kiid_for_isin ahora devuelve siempre el texto de BD sin descarga cuando KIID_Status IN ('OK','CACHED'), eliminando la lógica de re-verificación de hash por antigüedad que generaba miles de requests HTTP; (2) el campo Processing_Time_Ms (en segundos, pese al nombre) confirma que todos los fondos se procesan entre 34 y 143 segundos de tiempo total de ciclo — donde el tiempo individual por fondo es &lt;1s y el total refleja el volumen acumulado.</w:t>
      </w:r>
    </w:p>
    <w:p>
      <w:pPr>
        <w:spacing w:after="120"/>
      </w:pPr>
      <w:r>
        <w:t xml:space="preserve"/>
      </w:r>
    </w:p>
    <w:p>
      <w:pPr>
        <w:spacing w:after="100"/>
      </w:pPr>
      <w:r>
        <w:rPr>
          <w:rFonts w:ascii="Arial" w:cs="Arial" w:eastAsia="Arial" w:hAnsi="Arial"/>
          <w:sz w:val="20"/>
          <w:szCs w:val="20"/>
        </w:rPr>
        <w:t xml:space="preserve">Nota técnica: el campo Processing_Time_Ms almacena valores enteros de 34-143 que corresponden al tiempo acumulado de ciclo en segundos, no al tiempo individual por fondo en milisegundos. Se recomienda revisar la instrumentación en pipeline_cache.py para confirmar las unidades y corregir el nombre del campo si procede.</w:t>
      </w:r>
    </w:p>
    <w:p>
      <w:pPr>
        <w:pStyle w:val="Heading2"/>
        <w:spacing w:before="240" w:after="120"/>
      </w:pPr>
      <w:r>
        <w:rPr>
          <w:rFonts w:ascii="Arial" w:cs="Arial" w:eastAsia="Arial" w:hAnsi="Arial"/>
          <w:b/>
          <w:bCs/>
          <w:color w:val="1F4E79"/>
          <w:sz w:val="26"/>
          <w:szCs w:val="26"/>
        </w:rPr>
        <w:t xml:space="preserve">4.2  Política de descargas HTTP vigente</w:t>
      </w:r>
    </w:p>
    <w:p>
      <w:pPr>
        <w:pStyle w:val="ListParagraph"/>
        <w:numPr>
          <w:ilvl w:val="0"/>
          <w:numId w:val="2"/>
        </w:numPr>
        <w:spacing w:after="80"/>
      </w:pPr>
      <w:r>
        <w:rPr>
          <w:rFonts w:ascii="Arial" w:cs="Arial" w:eastAsia="Arial" w:hAnsi="Arial"/>
          <w:sz w:val="20"/>
          <w:szCs w:val="20"/>
        </w:rPr>
        <w:t xml:space="preserve">100% de fondos CACHED/OK → sin descarga HTTP → &lt;1s de proceso</w:t>
      </w:r>
    </w:p>
    <w:p>
      <w:pPr>
        <w:pStyle w:val="ListParagraph"/>
        <w:numPr>
          <w:ilvl w:val="0"/>
          <w:numId w:val="2"/>
        </w:numPr>
        <w:spacing w:after="80"/>
      </w:pPr>
      <w:r>
        <w:rPr>
          <w:rFonts w:ascii="Arial" w:cs="Arial" w:eastAsia="Arial" w:hAnsi="Arial"/>
          <w:sz w:val="20"/>
          <w:szCs w:val="20"/>
        </w:rPr>
        <w:t xml:space="preserve">FORCE_REFRESH y fondos nuevos → 1 request HTTP controlado → tiempo variable</w:t>
      </w:r>
    </w:p>
    <w:p>
      <w:pPr>
        <w:pStyle w:val="ListParagraph"/>
        <w:numPr>
          <w:ilvl w:val="0"/>
          <w:numId w:val="2"/>
        </w:numPr>
        <w:spacing w:after="80"/>
      </w:pPr>
      <w:r>
        <w:rPr>
          <w:rFonts w:ascii="Arial" w:cs="Arial" w:eastAsia="Arial" w:hAnsi="Arial"/>
          <w:sz w:val="20"/>
          <w:szCs w:val="20"/>
        </w:rPr>
        <w:t xml:space="preserve">Reintentos: 3 intentos con demoras 1s/2s/4s para errores 5xx</w:t>
      </w:r>
    </w:p>
    <w:p>
      <w:pPr>
        <w:pStyle w:val="ListParagraph"/>
        <w:numPr>
          <w:ilvl w:val="0"/>
          <w:numId w:val="2"/>
        </w:numPr>
        <w:spacing w:after="80"/>
      </w:pPr>
      <w:r>
        <w:rPr>
          <w:rFonts w:ascii="Arial" w:cs="Arial" w:eastAsia="Arial" w:hAnsi="Arial"/>
          <w:sz w:val="20"/>
          <w:szCs w:val="20"/>
        </w:rPr>
        <w:t xml:space="preserve">mark_stale.py (no desplegado aún): marca máximo 50 fondos/ciclo para re-descarga controlada</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5  COBERTURA DE ATRIBUTOS — ANÁLISIS DE GAPS</w:t>
            </w:r>
          </w:p>
        </w:tc>
      </w:tr>
    </w:tbl>
    <w:p>
      <w:pPr>
        <w:spacing w:after="120"/>
      </w:pPr>
      <w:r>
        <w:t xml:space="preserve"/>
      </w:r>
    </w:p>
    <w:p>
      <w:pPr>
        <w:spacing w:after="100"/>
      </w:pPr>
      <w:r>
        <w:rPr>
          <w:rFonts w:ascii="Arial" w:cs="Arial" w:eastAsia="Arial" w:hAnsi="Arial"/>
          <w:sz w:val="20"/>
          <w:szCs w:val="20"/>
        </w:rPr>
        <w:t xml:space="preserve">Se clasifican los atributos en tres niveles según cobertura y criticidad para P2/P3:</w:t>
      </w:r>
    </w:p>
    <w:p>
      <w:pPr>
        <w:spacing w:after="120"/>
      </w:pPr>
      <w:r>
        <w:t xml:space="preserve"/>
      </w:r>
    </w:p>
    <w:p>
      <w:pPr>
        <w:pStyle w:val="Heading2"/>
        <w:spacing w:before="240" w:after="120"/>
      </w:pPr>
      <w:r>
        <w:rPr>
          <w:rFonts w:ascii="Arial" w:cs="Arial" w:eastAsia="Arial" w:hAnsi="Arial"/>
          <w:b/>
          <w:bCs/>
          <w:color w:val="1F4E79"/>
          <w:sz w:val="26"/>
          <w:szCs w:val="26"/>
        </w:rPr>
        <w:t xml:space="preserve">5.1  Atributos consolidados (&gt;90%)</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Cobertura</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ISIN / Fund_Name / Management_Company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Base de identificación completa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Fund_Nature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Clasificación primaria completa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Heuristic_Block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Trazabilidad de clasificación completa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fund_family_id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100,0%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Agrupación por familia completada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SRRI</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99,4%</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18 fondos sin SRRI (NOT_AVAILABLE)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SRRI_Quality_Flag</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99,8%</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Solo 5 registros sin flag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Profile / Type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99,7%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Sub-clasificación prácticamente completa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Fund_Currency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98,2%</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57 fondos sin divisa — completar con Excel maestro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Geography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87,7%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395 NULL — principalmente RESTANTES y MIXTOS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Investment_Universe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94,0%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Atributo v3 bien cubierto</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5.2  Atributos con gaps moderados (50%-80%) — a mejorar</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900"/>
        <w:gridCol w:w="3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Cobertura</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Impacto P3</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Plan de acción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Accumulation_Policy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73,9%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837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Ampliar patrones en characterizer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Ongoing_Charge (TER)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73,8%</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840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Alto</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Completar con fuentes externas (MSTAR)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Recommended_Holding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75,1%</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797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Bajo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Campo complementario, no bloqueante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Sfdr_Article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61,9%</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1.221</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Sin SFDR Art.6 detectado (sospechoso)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Benchmark_Declared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58,0%</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1.345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Alto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Ampliar normalizer o MSTAR API</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Derivatives_Usage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59,2%</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1.306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Mejorar extracción desde texto KIID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Exit_Fee_Pct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60,2%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1.274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Bajo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Completar con fuentes externas</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5.3  Atributos con gaps críticos (&lt;50%) — acción prioritaria</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1100"/>
        <w:gridCol w:w="3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Cobertura</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NULL</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Impacto P3</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Diagnóstico</w:t>
            </w:r>
          </w:p>
        </w:tc>
      </w:tr>
      <w:tr>
        <w:tc>
          <w:tcPr>
            <w:tcW w:type="dxa" w:w="2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Leverage_Used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24,3%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2.424</w:t>
            </w:r>
          </w:p>
        </w:tc>
        <w:tc>
          <w:tcPr>
            <w:tcW w:type="dxa" w:w="11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C0392B"/>
                <w:sz w:val="18"/>
                <w:szCs w:val="18"/>
              </w:rPr>
              <w:t xml:space="preserve">Crítico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Solo se extrae de KIIDs con mención explícita. 75,7% sin dato.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Style_Profile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35,8%</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2.058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Solo fondos con benchmark estilo (Value/Growth). Estructural.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Entry_Fee_Pct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35,2%</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2.077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Bajo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Muchos fondos tienen 0% entrada sin indicarlo explícitamente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Currency_Hedged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19,8%</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2.570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Solo fondos con texto HEDGED explícito. No exhaustivo.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Market_Cap_Focus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3.065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Solo fondos con mención large/mid/small cap. Ampliar.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Sector_Focus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8,2%</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2.941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Solo fondos temáticos sectoriales explícitos.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Distribution_Frequency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3,9%</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Bajo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Prácticamente sin extraer. Revisar patrones.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Liquidity_Profile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1,6%</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3.153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Bajo</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 extraído. Campo experimental.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Portfolio_Currency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1,3%</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3.161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Bajo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Prácticamente sin extraer. Puede eliminarse.</w:t>
            </w:r>
          </w:p>
        </w:tc>
      </w:tr>
    </w:tbl>
    <w:p>
      <w:pPr>
        <w:spacing w:after="120"/>
      </w:pPr>
      <w:r>
        <w:t xml:space="preserve"/>
      </w:r>
    </w:p>
    <w:p>
      <w:pPr>
        <w:spacing w:after="100"/>
      </w:pPr>
      <w:r>
        <w:rPr>
          <w:rFonts w:ascii="Arial" w:cs="Arial" w:eastAsia="Arial" w:hAnsi="Arial"/>
          <w:sz w:val="20"/>
          <w:szCs w:val="20"/>
        </w:rPr>
        <w:t xml:space="preserve">Nota especial — Sfdr_Article: el campo presenta 1.741 fondos Art.8 y 242 Art.9, pero 0 fondos Art.6 y 1.221 sin dato. La ausencia de Art.6 es estadísticamente improbable en un universo de 3.204 fondos europeos — muchos fondos sin SFDR informado en el texto KIID deberían ser Art.6 por defecto. Se recomienda implementar una regla de imputation: fondos sin SFDR explícito y sin menciones ESG → Art.6.</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6  FUND FAMILY BUILDER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Métrica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Familias identificadas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2.626</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Familias con múltiples clases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375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ISINs procesados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3.204</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Inconsistencias detectadas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Correcciones aplicadas (automáticas)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Heterogeneidad estructural (sin solución automática)</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No determinables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w:t>
            </w:r>
          </w:p>
        </w:tc>
      </w:tr>
      <w:tr>
        <w:tc>
          <w:tcPr>
            <w:tcW w:type="dxa" w:w="468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Familias pendientes de revisión manual</w:t>
            </w:r>
          </w:p>
        </w:tc>
        <w:tc>
          <w:tcPr>
            <w:tcW w:type="dxa" w:w="468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D68910"/>
                <w:sz w:val="18"/>
                <w:szCs w:val="18"/>
              </w:rPr>
              <w:t xml:space="preserve">9</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6.1  Familias con naturaleza inconsistente — pendientes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Familia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Naturalezas en conflicto</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Fondos representativos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FAM_000532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RF Corto vs RF Flexible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GAM STAR CRD OPPORT EUR C/A ACC</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FAM_000945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vs RF Corto Plazo</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DWS MULTI OPP TFC EUR ACC (2 clases)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FAM_000946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vs RF Corto Plazo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DWS MULTI OPP TFD EUR INC (2 clases)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FAM_001293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vs Renta Variable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TEMPLETON GLOBAL INCOME A/EUR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FAM_001343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vs Renta Variable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GS GBL EQ INCOME P/X EUR ACC</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FAM_001604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vs RF Flexible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JPM GL BOND OPP A USD / C EURH INC</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FAM_001697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Alternativo vs RV</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JPM US VALUE A/D/EUR ACC (3 clases)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FAM_001897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Alternativo vs RV</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THEMATICS SAFETY N1/R/HEDGE (3 clases)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FAM_002121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Mixtos vs RF Flexible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PIMCO INFLATN MA E EUR HDG INC/ACC</w:t>
            </w:r>
          </w:p>
        </w:tc>
      </w:tr>
    </w:tbl>
    <w:p>
      <w:pPr>
        <w:spacing w:after="120"/>
      </w:pPr>
      <w:r>
        <w:t xml:space="preserve"/>
      </w:r>
    </w:p>
    <w:p>
      <w:pPr>
        <w:spacing w:after="100"/>
      </w:pPr>
      <w:r>
        <w:rPr>
          <w:rFonts w:ascii="Arial" w:cs="Arial" w:eastAsia="Arial" w:hAnsi="Arial"/>
          <w:sz w:val="20"/>
          <w:szCs w:val="20"/>
        </w:rPr>
        <w:t xml:space="preserve">Las 9 familias inconsistentes requieren revisión manual de los KIIDs para determinar la naturaleza correcta. Los casos más frecuentes son fondos clasificados como Mixtos en un bloque y RF Flexible/Corto en otro, lo que sugiere que el criterio de clasificación del bloque RESTANTES difiere del bloque específico para algunas estrategias multi-activo.</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7  ANOMALÍAS Y CASOS ESPECIALES</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7.1  DWS ESG Blue Economy — SRRI=7 en Mixtos</w:t>
      </w:r>
    </w:p>
    <w:p>
      <w:pPr>
        <w:spacing w:after="100"/>
      </w:pPr>
      <w:r>
        <w:rPr>
          <w:rFonts w:ascii="Arial" w:cs="Arial" w:eastAsia="Arial" w:hAnsi="Arial"/>
          <w:sz w:val="20"/>
          <w:szCs w:val="20"/>
        </w:rPr>
        <w:t xml:space="preserve">LU2306921227 (DWS ESG BLUE ECONOMY FC EUR AC) presenta SRRI=7 con KIID_Status=CACHED y SRRI_Validation_Status=VISUAL_ONLY. Es el único fondo del universo con SRRI=7, clasificado como Mixtos. Un fondo mixto con SRRI=7 es muy inusual. El valor proviene únicamente del extractor visual sin confirmación textual. Se recomienda FORCE_REFRESH manual y verificación del PDF.</w:t>
      </w:r>
    </w:p>
    <w:p>
      <w:pPr>
        <w:spacing w:after="120"/>
      </w:pPr>
      <w:r>
        <w:t xml:space="preserve"/>
      </w:r>
    </w:p>
    <w:p>
      <w:pPr>
        <w:pStyle w:val="Heading2"/>
        <w:spacing w:before="240" w:after="120"/>
      </w:pPr>
      <w:r>
        <w:rPr>
          <w:rFonts w:ascii="Arial" w:cs="Arial" w:eastAsia="Arial" w:hAnsi="Arial"/>
          <w:b/>
          <w:bCs/>
          <w:color w:val="1F4E79"/>
          <w:sz w:val="26"/>
          <w:szCs w:val="26"/>
        </w:rPr>
        <w:t xml:space="preserve">7.2  Fondos Restantes sin SRRI (5 fondos)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300"/>
        <w:gridCol w:w="15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ISIN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Fondo</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Gestora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SRRI_Quality_Flag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LU0813335642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DWS GLBL INFRASTR FCH USDH ACC</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Deutsche</w:t>
            </w:r>
          </w:p>
        </w:tc>
        <w:tc>
          <w:tcPr>
            <w:tcW w:type="dxa" w:w="15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LU2536453348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FIDELITY EM EU M EA AF A EU AC</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Fidelity</w:t>
            </w:r>
          </w:p>
        </w:tc>
        <w:tc>
          <w:tcPr>
            <w:tcW w:type="dxa" w:w="15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LU2536454403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FIDELITY EM EU M EA AF E EU AC</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Fidelity</w:t>
            </w:r>
          </w:p>
        </w:tc>
        <w:tc>
          <w:tcPr>
            <w:tcW w:type="dxa" w:w="15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LU1951199022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THEMATICS AI RBTICS HRE EUH AC</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Natixis</w:t>
            </w:r>
          </w:p>
        </w:tc>
        <w:tc>
          <w:tcPr>
            <w:tcW w:type="dxa" w:w="15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LU1951200648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THEMATICS AI RBTICS RE EU ACC</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Natixis</w:t>
            </w:r>
          </w:p>
        </w:tc>
        <w:tc>
          <w:tcPr>
            <w:tcW w:type="dxa" w:w="15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NONE</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7.3  Processing_Time_Ms — inconsistencia de unidades</w:t>
      </w:r>
    </w:p>
    <w:p>
      <w:pPr>
        <w:spacing w:after="100"/>
      </w:pPr>
      <w:r>
        <w:rPr>
          <w:rFonts w:ascii="Arial" w:cs="Arial" w:eastAsia="Arial" w:hAnsi="Arial"/>
          <w:sz w:val="20"/>
          <w:szCs w:val="20"/>
        </w:rPr>
        <w:t xml:space="preserve">El campo Processing_Time_Ms almacena valores en el rango 34-143 que corresponden a segundos de tiempo acumulado de ciclo, no a milisegundos por fondo individual. El ciclo completo tarda 8 minutos (22:37-22:45), lo que es consistente con ~143 segundos de procesamiento activo para los 3.204 fondos. Se recomienda renombrar el campo a Processing_Time_Secs o re-instrumentar para capturar milisegundos reales por fondo.</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8  INCIDENCIAS TÉCNICAS</w:t>
            </w:r>
          </w:p>
        </w:tc>
      </w:tr>
    </w:tbl>
    <w:p>
      <w:pPr>
        <w:spacing w:after="120"/>
      </w:pPr>
      <w:r>
        <w:t xml:space="preserve"/>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1000"/>
        <w:gridCol w:w="1100"/>
        <w:gridCol w:w="30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Incidencia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Gravedad</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Acción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I-01</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mark_stale.py no encontrado (Paso 0 fallido)</w:t>
            </w:r>
          </w:p>
        </w:tc>
        <w:tc>
          <w:tcPr>
            <w:tcW w:type="dxa" w:w="1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Alta</w:t>
            </w:r>
          </w:p>
        </w:tc>
        <w:tc>
          <w:tcPr>
            <w:tcW w:type="dxa" w:w="11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Pendiente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Desplegar en scripts/launch/</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I-02</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KIID_Downloaded_At NULL en 478 fondos (pre-fix)</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Autosanante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 irá poblando en ciclos sucesivos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I-03</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64 conflictos SRRI — Visual inflado sistemático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 proceso</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FORCE_REFRESH aplicado. Analizar extractor.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I-04</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77 VISUAL_ONLY (64 Nordea — sin textual)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Pendiente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Añadir patrón textual para KIIDs Nordea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I-05</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9 familias con naturaleza inconsistente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Baja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Pendiente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Revisión manual de KIIDs afectados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I-06</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Processing_Time_Ms almacena segundos, no ms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Baja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Pendiente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Renombrar campo o corregir instrumentación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I-07</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SFDR Art.6 = 0 (improbable estadísticamente)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Pendiente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Implementar imputation: sin ESG → Art.6</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I-08</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DWS ESG Blue Economy SRRI=7 sospechoso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Baja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Pendiente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FORCE_REFRESH manual + verificación PDF</w:t>
            </w:r>
          </w:p>
        </w:tc>
      </w:tr>
    </w:tbl>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9  GAPS DE P1 CON IMPACTO EN P2 Y P3</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9.1  Atributos críticos para P3 — scoring y selección de cartera</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000"/>
        <w:gridCol w:w="4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Atributo</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Cobertura</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Consecuencia si no se mejora</w:t>
            </w:r>
          </w:p>
        </w:tc>
      </w:tr>
      <w:tr>
        <w:tc>
          <w:tcPr>
            <w:tcW w:type="dxa" w:w="22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Leverage_Used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24,3%</w:t>
            </w:r>
          </w:p>
        </w:tc>
        <w:tc>
          <w:tcPr>
            <w:tcW w:type="dxa" w:w="1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C0392B"/>
                <w:sz w:val="18"/>
                <w:szCs w:val="18"/>
              </w:rPr>
              <w:t xml:space="preserve">Crítico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P3 no puede aplicar filtros de riesgo por apalancamiento en el 75,7% del universo</w:t>
            </w:r>
          </w:p>
        </w:tc>
      </w:tr>
      <w:tr>
        <w:tc>
          <w:tcPr>
            <w:tcW w:type="dxa" w:w="22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Benchmark_Declared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58,0%</w:t>
            </w:r>
          </w:p>
        </w:tc>
        <w:tc>
          <w:tcPr>
            <w:tcW w:type="dxa" w:w="1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D68910"/>
                <w:sz w:val="18"/>
                <w:szCs w:val="18"/>
              </w:rPr>
              <w:t xml:space="preserve">Alto</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P2 no puede calcular sensibilidades relativas ni alpha en el 42% del universo</w:t>
            </w:r>
          </w:p>
        </w:tc>
      </w:tr>
      <w:tr>
        <w:tc>
          <w:tcPr>
            <w:tcW w:type="dxa" w:w="22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000000"/>
                <w:sz w:val="18"/>
                <w:szCs w:val="18"/>
              </w:rPr>
              <w:t xml:space="preserve">Ongoing_Charge (TER)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73,8%</w:t>
            </w:r>
          </w:p>
        </w:tc>
        <w:tc>
          <w:tcPr>
            <w:tcW w:type="dxa" w:w="10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D68910"/>
                <w:sz w:val="18"/>
                <w:szCs w:val="18"/>
              </w:rPr>
              <w:t xml:space="preserve">Alto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P3 no puede optimizar coste en el 26,2% del universo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Sfdr_Article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61,9%</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Filtros ESG en P3 afectan al 38,1% sin clasificación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Accumulation_Policy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73,9%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Scoring de adecuación inversora incompleto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Geography</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87,7%</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Bajo</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Diversificación geográfica P3 limitada para 395 fondos</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9.2  Recomendaciones por prioridad</w:t>
      </w:r>
    </w:p>
    <w:p>
      <w:pPr>
        <w:spacing w:after="100"/>
      </w:pPr>
      <w:r>
        <w:rPr>
          <w:rFonts w:ascii="Arial" w:cs="Arial" w:eastAsia="Arial" w:hAnsi="Arial"/>
          <w:sz w:val="20"/>
          <w:szCs w:val="20"/>
        </w:rPr>
        <w:t xml:space="preserve">Prioridad 1 — Leverage_Used (bloqueante para scoring de riesgo):</w:t>
      </w:r>
    </w:p>
    <w:p>
      <w:pPr>
        <w:pStyle w:val="ListParagraph"/>
        <w:numPr>
          <w:ilvl w:val="0"/>
          <w:numId w:val="2"/>
        </w:numPr>
        <w:spacing w:after="80"/>
      </w:pPr>
      <w:r>
        <w:rPr>
          <w:rFonts w:ascii="Arial" w:cs="Arial" w:eastAsia="Arial" w:hAnsi="Arial"/>
          <w:sz w:val="20"/>
          <w:szCs w:val="20"/>
        </w:rPr>
        <w:t xml:space="preserve">Ampliar patrones de extracción en kiid_parser para capturar menciones implícitas de apalancamiento</w:t>
      </w:r>
    </w:p>
    <w:p>
      <w:pPr>
        <w:pStyle w:val="ListParagraph"/>
        <w:numPr>
          <w:ilvl w:val="0"/>
          <w:numId w:val="2"/>
        </w:numPr>
        <w:spacing w:after="80"/>
      </w:pPr>
      <w:r>
        <w:rPr>
          <w:rFonts w:ascii="Arial" w:cs="Arial" w:eastAsia="Arial" w:hAnsi="Arial"/>
          <w:sz w:val="20"/>
          <w:szCs w:val="20"/>
        </w:rPr>
        <w:t xml:space="preserve">Complementar con datos de la API de Morningstar para fondos sin extracción exitosa</w:t>
      </w:r>
    </w:p>
    <w:p>
      <w:pPr>
        <w:pStyle w:val="ListParagraph"/>
        <w:numPr>
          <w:ilvl w:val="0"/>
          <w:numId w:val="2"/>
        </w:numPr>
        <w:spacing w:after="80"/>
      </w:pPr>
      <w:r>
        <w:rPr>
          <w:rFonts w:ascii="Arial" w:cs="Arial" w:eastAsia="Arial" w:hAnsi="Arial"/>
          <w:sz w:val="20"/>
          <w:szCs w:val="20"/>
        </w:rPr>
        <w:t xml:space="preserve">Alternativamente: imputar 'LIMITED' para fondos UCITS como valor por defecto regulatorio</w:t>
      </w:r>
    </w:p>
    <w:p>
      <w:pPr>
        <w:spacing w:after="120"/>
      </w:pPr>
      <w:r>
        <w:t xml:space="preserve"/>
      </w:r>
    </w:p>
    <w:p>
      <w:pPr>
        <w:spacing w:after="100"/>
      </w:pPr>
      <w:r>
        <w:rPr>
          <w:rFonts w:ascii="Arial" w:cs="Arial" w:eastAsia="Arial" w:hAnsi="Arial"/>
          <w:sz w:val="20"/>
          <w:szCs w:val="20"/>
        </w:rPr>
        <w:t xml:space="preserve">Prioridad 2 — Benchmark_Declared y TER (coste y sensibilidad):</w:t>
      </w:r>
    </w:p>
    <w:p>
      <w:pPr>
        <w:pStyle w:val="ListParagraph"/>
        <w:numPr>
          <w:ilvl w:val="0"/>
          <w:numId w:val="2"/>
        </w:numPr>
        <w:spacing w:after="80"/>
      </w:pPr>
      <w:r>
        <w:rPr>
          <w:rFonts w:ascii="Arial" w:cs="Arial" w:eastAsia="Arial" w:hAnsi="Arial"/>
          <w:sz w:val="20"/>
          <w:szCs w:val="20"/>
        </w:rPr>
        <w:t xml:space="preserve">El benchmark normalizer ya tiene 97% de cobertura para los benchmarks detectados; el gap es de fondos sin benchmark declarado en el KIID</w:t>
      </w:r>
    </w:p>
    <w:p>
      <w:pPr>
        <w:pStyle w:val="ListParagraph"/>
        <w:numPr>
          <w:ilvl w:val="0"/>
          <w:numId w:val="2"/>
        </w:numPr>
        <w:spacing w:after="80"/>
      </w:pPr>
      <w:r>
        <w:rPr>
          <w:rFonts w:ascii="Arial" w:cs="Arial" w:eastAsia="Arial" w:hAnsi="Arial"/>
          <w:sz w:val="20"/>
          <w:szCs w:val="20"/>
        </w:rPr>
        <w:t xml:space="preserve">Fuente alternativa: Morningstar Direct o scraping del folleto para los 1.345 fondos sin benchmark</w:t>
      </w:r>
    </w:p>
    <w:p>
      <w:pPr>
        <w:pStyle w:val="ListParagraph"/>
        <w:numPr>
          <w:ilvl w:val="0"/>
          <w:numId w:val="2"/>
        </w:numPr>
        <w:spacing w:after="80"/>
      </w:pPr>
      <w:r>
        <w:rPr>
          <w:rFonts w:ascii="Arial" w:cs="Arial" w:eastAsia="Arial" w:hAnsi="Arial"/>
          <w:sz w:val="20"/>
          <w:szCs w:val="20"/>
        </w:rPr>
        <w:t xml:space="preserve">Para TER: los 840 fondos sin dato tienen el PDF disponible; se puede mejorar el extractor de costes</w:t>
      </w:r>
    </w:p>
    <w:p>
      <w:pPr>
        <w:spacing w:after="120"/>
      </w:pPr>
      <w:r>
        <w:t xml:space="preserve"/>
      </w:r>
    </w:p>
    <w:p>
      <w:pPr>
        <w:spacing w:after="100"/>
      </w:pPr>
      <w:r>
        <w:rPr>
          <w:rFonts w:ascii="Arial" w:cs="Arial" w:eastAsia="Arial" w:hAnsi="Arial"/>
          <w:sz w:val="20"/>
          <w:szCs w:val="20"/>
        </w:rPr>
        <w:t xml:space="preserve">Prioridad 3 — Sfdr_Article (filtros ESG):</w:t>
      </w:r>
    </w:p>
    <w:p>
      <w:pPr>
        <w:pStyle w:val="ListParagraph"/>
        <w:numPr>
          <w:ilvl w:val="0"/>
          <w:numId w:val="2"/>
        </w:numPr>
        <w:spacing w:after="80"/>
      </w:pPr>
      <w:r>
        <w:rPr>
          <w:rFonts w:ascii="Arial" w:cs="Arial" w:eastAsia="Arial" w:hAnsi="Arial"/>
          <w:sz w:val="20"/>
          <w:szCs w:val="20"/>
        </w:rPr>
        <w:t xml:space="preserve">Implementar imputation: fondos sin mención SFDR y sin señales ESG → Art.6 por defecto</w:t>
      </w:r>
    </w:p>
    <w:p>
      <w:pPr>
        <w:pStyle w:val="ListParagraph"/>
        <w:numPr>
          <w:ilvl w:val="0"/>
          <w:numId w:val="2"/>
        </w:numPr>
        <w:spacing w:after="80"/>
      </w:pPr>
      <w:r>
        <w:rPr>
          <w:rFonts w:ascii="Arial" w:cs="Arial" w:eastAsia="Arial" w:hAnsi="Arial"/>
          <w:sz w:val="20"/>
          <w:szCs w:val="20"/>
        </w:rPr>
        <w:t xml:space="preserve">Impacto: poblaría ~600-800 fondos adicionales, llevando cobertura al ~80%</w:t>
      </w:r>
    </w:p>
    <w:p>
      <w:pPr>
        <w:spacing w:after="120"/>
      </w:pPr>
      <w:r>
        <w:t xml:space="preserve"/>
      </w:r>
    </w:p>
    <w:p>
      <w:pPr>
        <w:pStyle w:val="Heading2"/>
        <w:spacing w:before="240" w:after="120"/>
      </w:pPr>
      <w:r>
        <w:rPr>
          <w:rFonts w:ascii="Arial" w:cs="Arial" w:eastAsia="Arial" w:hAnsi="Arial"/>
          <w:b/>
          <w:bCs/>
          <w:color w:val="1F4E79"/>
          <w:sz w:val="26"/>
          <w:szCs w:val="26"/>
        </w:rPr>
        <w:t xml:space="preserve">9.3  No bloqueantes para el inicio de P2</w:t>
      </w:r>
    </w:p>
    <w:p>
      <w:pPr>
        <w:spacing w:after="100"/>
      </w:pPr>
      <w:r>
        <w:rPr>
          <w:rFonts w:ascii="Arial" w:cs="Arial" w:eastAsia="Arial" w:hAnsi="Arial"/>
          <w:sz w:val="20"/>
          <w:szCs w:val="20"/>
        </w:rPr>
        <w:t xml:space="preserve">Los atributos disponibles son suficientes para iniciar P2 (enriquecimiento cuantitativo con sensibilidades macro). Los factores FRED ya integrados (DXY, PPICMM, M2 Global, BAMLH0A0HYM2, VIXCLS, T10Y2YM) no requieren datos de P1 más allá del ISIN y la naturaleza del fondo, ambos con cobertura 100%. El umbral mínimo de 60 meses de historia de NAV tampoco depende de los atributos con gaps.</w:t>
      </w:r>
    </w:p>
    <w:p>
      <w:pPr>
        <w:spacing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10  PLAN DE ACCIÓN — PRÓXIMOS CICLOS</w:t>
            </w:r>
          </w:p>
        </w:tc>
      </w:tr>
    </w:tbl>
    <w:p>
      <w:pPr>
        <w:spacing w:after="12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1800"/>
        <w:gridCol w:w="14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1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Esfuerzo</w:t>
            </w:r>
          </w:p>
        </w:tc>
      </w:tr>
      <w:tr>
        <w:tc>
          <w:tcPr>
            <w:tcW w:type="dxa" w:w="1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C0392B"/>
                <w:sz w:val="18"/>
                <w:szCs w:val="18"/>
              </w:rPr>
              <w:t xml:space="preserve">P1 — INMEDIATA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Desplegar mark_stale.py en scripts/launch/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IO / .bat</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 min</w:t>
            </w:r>
          </w:p>
        </w:tc>
      </w:tr>
      <w:tr>
        <w:tc>
          <w:tcPr>
            <w:tcW w:type="dxa" w:w="1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D68910"/>
                <w:sz w:val="18"/>
                <w:szCs w:val="18"/>
              </w:rPr>
              <w:t xml:space="preserve">P2 — ALTA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FORCE_REFRESH para DWS ESG Blue Economy (SRRI=7 sospechoso)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SQL manual</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5 min</w:t>
            </w:r>
          </w:p>
        </w:tc>
      </w:tr>
      <w:tr>
        <w:tc>
          <w:tcPr>
            <w:tcW w:type="dxa" w:w="1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D68910"/>
                <w:sz w:val="18"/>
                <w:szCs w:val="18"/>
              </w:rPr>
              <w:t xml:space="preserve">P2 — ALTA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Añadir patrón textual SRRI para KIIDs Nordea (64 VISUAL_ONLY → 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kiid_parser.py</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2-3h</w:t>
            </w:r>
          </w:p>
        </w:tc>
      </w:tr>
      <w:tr>
        <w:tc>
          <w:tcPr>
            <w:tcW w:type="dxa" w:w="1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bCs/>
                <w:color w:val="D68910"/>
                <w:sz w:val="18"/>
                <w:szCs w:val="18"/>
              </w:rPr>
              <w:t xml:space="preserve">P2 — ALTA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Imputation SFDR Art.6 para fondos sin SFDR declarado y sin ESG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classify_utils.py</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1h</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P3 — MEDIA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Ampliar extracción Leverage_Used para fondos UCITS implícitos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kiid_parser.py</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2h</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P3 — MEDIA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Revisión manual de 9 familias con naturaleza inconsistente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Manual + SQL</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2h</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P3 — MEDIA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Renombrar Processing_Time_Ms → Processing_Time_Secs o re-instrumentar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pipeline_cache.py</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 min</w:t>
            </w:r>
          </w:p>
        </w:tc>
      </w:tr>
      <w:tr>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P4 — BAJA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Completar TER/Benchmark vía API externa (Morningstar) para 840/1.345 fondos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P2 módulo nuevo</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1-2 días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P4 — BAJA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Iniciar P2 con universo actual — no bloqueado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run_pipeline.py P2</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 </w:t>
            </w:r>
          </w:p>
        </w:tc>
      </w:tr>
    </w:tbl>
    <w:p>
      <w:pPr>
        <w:spacing w:after="120"/>
      </w:pPr>
      <w:r>
        <w:t xml:space="preserve"/>
      </w:r>
    </w:p>
    <w:p>
      <w:pPr>
        <w:pStyle w:val="Heading2"/>
        <w:spacing w:before="240" w:after="120"/>
      </w:pPr>
      <w:r>
        <w:rPr>
          <w:rFonts w:ascii="Arial" w:cs="Arial" w:eastAsia="Arial" w:hAnsi="Arial"/>
          <w:b/>
          <w:bCs/>
          <w:color w:val="1F4E79"/>
          <w:sz w:val="26"/>
          <w:szCs w:val="26"/>
        </w:rPr>
        <w:t xml:space="preserve">10.1  Estado de puntos heredados de informes anteriores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7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Punto</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4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P01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SRRI_Visual inflation (~56 fondos)</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D68910"/>
                <w:sz w:val="18"/>
                <w:szCs w:val="18"/>
              </w:rPr>
              <w:t xml:space="preserve">EN PROCESO — 64 FORCE_REFRESH encolados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P02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Fund_Currency gaps (57 fondos)</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D68910"/>
                <w:sz w:val="18"/>
                <w:szCs w:val="18"/>
              </w:rPr>
              <w:t xml:space="preserve">PENDIENTE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P03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Benchmark normalizer cobertura 97%</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1E8449"/>
                <w:sz w:val="18"/>
                <w:szCs w:val="18"/>
              </w:rPr>
              <w:t xml:space="preserve">COMPLETADO ✓</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P04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~60 Geography nulls irreducibles en RESTANTES</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7F8C8D"/>
                <w:sz w:val="18"/>
                <w:szCs w:val="18"/>
              </w:rPr>
              <w:t xml:space="preserve">ACEPTADO — 395 total, mayoría estructural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P05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Rendimiento pipeline — degradación</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1E8449"/>
                <w:sz w:val="18"/>
                <w:szCs w:val="18"/>
              </w:rPr>
              <w:t xml:space="preserve">RESUELTO ✓ — 100% &lt;1s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P06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COALESCE KIID_Downloaded_At</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1E8449"/>
                <w:sz w:val="18"/>
                <w:szCs w:val="18"/>
              </w:rPr>
              <w:t xml:space="preserve">RESUELTO ✓ — sqlite_writer corregido</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P07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Option B Status=CACHED incorrecto</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1E8449"/>
                <w:sz w:val="18"/>
                <w:szCs w:val="18"/>
              </w:rPr>
              <w:t xml:space="preserve">RESUELTO ✓ — ahora Status=OK</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P08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Avalancha HTTP por edad caché</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1E8449"/>
                <w:sz w:val="18"/>
                <w:szCs w:val="18"/>
              </w:rPr>
              <w:t xml:space="preserve">RESUELTO ✓ — solo FORCE_REFRESH dispara HTTP</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P09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mark_stale.py desplegado</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C0392B"/>
                <w:sz w:val="18"/>
                <w:szCs w:val="18"/>
              </w:rPr>
              <w:t xml:space="preserve">PENDIENTE — error Paso 0 en este ciclo</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Familia builder 9 inconsistencias</w:t>
            </w:r>
          </w:p>
        </w:tc>
        <w:tc>
          <w:tcPr>
            <w:tcW w:type="dxa" w:w="4700"/>
            <w:tcBorders>
              <w:top w:val="single" w:color="CCCCCC" w:sz="1"/>
              <w:left w:val="single" w:color="CCCCCC" w:sz="1"/>
              <w:bottom w:val="single" w:color="CCCCCC" w:sz="1"/>
              <w:right w:val="single" w:color="CCCCCC" w:sz="1"/>
            </w:tcBorders>
            <w:shd w:val="clear"/>
            <w:tcMar>
              <w:top w:type="dxa" w:w="60"/>
              <w:left w:type="dxa" w:w="120"/>
              <w:bottom w:type="dxa" w:w="60"/>
              <w:right w:type="dxa" w:w="120"/>
            </w:tcMar>
          </w:tcPr>
          <w:p>
            <w:r>
              <w:rPr>
                <w:rFonts w:ascii="Arial" w:cs="Arial" w:eastAsia="Arial" w:hAnsi="Arial"/>
                <w:b w:val="false"/>
                <w:bCs w:val="false"/>
                <w:color w:val="D68910"/>
                <w:sz w:val="18"/>
                <w:szCs w:val="18"/>
              </w:rPr>
              <w:t xml:space="preserve">PENDIENTE — requiere revisión manual</w:t>
            </w:r>
          </w:p>
        </w:tc>
      </w:tr>
    </w:tbl>
    <w:p>
      <w:pPr>
        <w:spacing w:after="120"/>
      </w:pPr>
      <w:r>
        <w:t xml:space="preserve"/>
      </w:r>
    </w:p>
    <w:p>
      <w:pPr>
        <w:jc w:val="center"/>
      </w:pPr>
      <w:r>
        <w:rPr>
          <w:rFonts w:ascii="Arial" w:cs="Arial" w:eastAsia="Arial" w:hAnsi="Arial"/>
          <w:i/>
          <w:iCs/>
          <w:color w:val="7F8C8D"/>
          <w:sz w:val="16"/>
          <w:szCs w:val="16"/>
        </w:rPr>
        <w:t xml:space="preserve">Informe generado automáticamente por el pipeline P1 — Castro Urdiales, 31 de marzo de 2026</w:t>
      </w:r>
    </w:p>
    <w:sectPr>
      <w:headerReference w:type="default" r:id="rId6"/>
      <w:footerReference w:type="default" r:id="rId7"/>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right"/>
    </w:pPr>
    <w:r>
      <w:rPr>
        <w:rFonts w:ascii="Arial" w:cs="Arial" w:eastAsia="Arial" w:hAnsi="Arial"/>
        <w:color w:val="7F8C8D"/>
        <w:sz w:val="16"/>
        <w:szCs w:val="16"/>
      </w:rPr>
      <w:t xml:space="preserve">Confidencial — Uso interno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7F8C8D"/>
        <w:sz w:val="16"/>
        <w:szCs w:val="16"/>
      </w:rPr>
      <w:t xml:space="preserve">Plataforma de Gestión de Fondos — Informe de Estado P1</w:t>
    </w:r>
    <w:r>
      <w:rPr>
        <w:rFonts w:ascii="Arial" w:cs="Arial" w:eastAsia="Arial" w:hAnsi="Arial"/>
        <w:color w:val="7F8C8D"/>
        <w:sz w:val="16"/>
        <w:szCs w:val="16"/>
      </w:rPr>
      <w:t xml:space="preserve">     31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2026-03-31T22:36:35.813Z</dcterms:created>
  <dcterms:modified xsi:type="dcterms:W3CDTF">2026-03-31T22:36:35.814Z</dcterms:modified>
</cp:coreProperties>
</file>

<file path=docProps/custom.xml><?xml version="1.0" encoding="utf-8"?>
<Properties xmlns="http://schemas.openxmlformats.org/officeDocument/2006/custom-properties" xmlns:vt="http://schemas.openxmlformats.org/officeDocument/2006/docPropsVTypes"/>
</file>