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jc w:val="center"/>
      </w:pPr>
      <w:r>
        <w:rPr>
          <w:rFonts w:ascii="Arial" w:cs="Arial" w:eastAsia="Arial" w:hAnsi="Arial"/>
          <w:b/>
          <w:bCs/>
          <w:color w:val="1A3A6B"/>
          <w:sz w:val="40"/>
          <w:szCs w:val="40"/>
        </w:rPr>
        <w:t xml:space="preserve">ANÁLISIS DE CLASIFICACIÓN Y MODELO DE GESTIÓN</w:t>
      </w:r>
    </w:p>
    <w:p>
      <w:pPr>
        <w:jc w:val="center"/>
      </w:pPr>
      <w:r>
        <w:rPr>
          <w:rFonts w:ascii="Arial" w:cs="Arial" w:eastAsia="Arial" w:hAnsi="Arial"/>
          <w:color w:val="4472C4"/>
          <w:sz w:val="28"/>
          <w:szCs w:val="28"/>
        </w:rPr>
        <w:t xml:space="preserve">Sistema de Análisis de Fondos de Inversión</w:t>
      </w:r>
    </w:p>
    <w:p>
      <w:pPr>
        <w:spacing w:after="120"/>
      </w:pPr>
      <w:r>
        <w:t xml:space="preserve"/>
      </w:r>
    </w:p>
    <w:p>
      <w:pPr>
        <w:jc w:val="center"/>
      </w:pPr>
      <w:r>
        <w:rPr>
          <w:rFonts w:ascii="Arial" w:cs="Arial" w:eastAsia="Arial" w:hAnsi="Arial"/>
          <w:color w:val="666666"/>
          <w:sz w:val="22"/>
          <w:szCs w:val="22"/>
        </w:rPr>
        <w:t xml:space="preserve">Plataforma P1/P2/P3 · Castro Urdiales, 28 de marzo de 2026</w:t>
      </w:r>
    </w:p>
    <w:p>
      <w:pPr>
        <w:spacing w:after="0"/>
      </w:pPr>
      <w:r>
        <w:br w:type="page"/>
      </w:r>
    </w:p>
    <w:p>
      <w:pPr>
        <w:pStyle w:val="Heading1"/>
      </w:pPr>
      <w:r>
        <w:rPr>
          <w:rFonts w:ascii="Arial" w:cs="Arial" w:eastAsia="Arial" w:hAnsi="Arial"/>
          <w:b/>
          <w:bCs/>
          <w:sz w:val="32"/>
          <w:szCs w:val="32"/>
        </w:rPr>
        <w:t xml:space="preserve">1. ESTADO ACTUAL: FIABILIDAD Y ESCALABILIDAD DEL MÉTODO</w:t>
      </w:r>
    </w:p>
    <w:p>
      <w:pPr>
        <w:pBdr>
          <w:bottom w:val="single" w:color="2E5FA3" w:sz="6" w:space="1"/>
        </w:pBdr>
        <w:spacing w:after="200"/>
      </w:pPr>
    </w:p>
    <w:p>
      <w:pPr>
        <w:pStyle w:val="Heading2"/>
      </w:pPr>
      <w:r>
        <w:rPr>
          <w:rFonts w:ascii="Arial" w:cs="Arial" w:eastAsia="Arial" w:hAnsi="Arial"/>
          <w:b/>
          <w:bCs/>
          <w:color w:val="2E5FA3"/>
          <w:sz w:val="26"/>
          <w:szCs w:val="26"/>
        </w:rPr>
        <w:t xml:space="preserve">1.1 Resultados del último descubrimiento</w:t>
      </w:r>
    </w:p>
    <w:p>
      <w:pPr>
        <w:spacing w:after="80"/>
      </w:pPr>
      <w:r>
        <w:rPr>
          <w:rFonts w:ascii="Arial" w:cs="Arial" w:eastAsia="Arial" w:hAnsi="Arial"/>
          <w:sz w:val="22"/>
          <w:szCs w:val="22"/>
        </w:rPr>
        <w:t xml:space="preserve">El pipeline ha procesado 3.204 fondos alcanzando los siguientes resultados: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100"/>
        <w:gridCol w:w="4960"/>
      </w:tblGrid>
      <w:tr>
        <w:trPr>
          <w:tblHeader/>
        </w:trPr>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Naturaleza</w:t>
            </w:r>
          </w:p>
        </w:tc>
        <w:tc>
          <w:tcPr>
            <w:tcW w:type="dxa" w:w="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Fondos</w:t>
            </w:r>
          </w:p>
        </w:tc>
        <w:tc>
          <w:tcPr>
            <w:tcW w:type="dxa" w:w="11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 Universo</w:t>
            </w:r>
          </w:p>
        </w:tc>
        <w:tc>
          <w:tcPr>
            <w:tcW w:type="dxa" w:w="49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Bloque Principal</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Renta Variable</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1.522</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47.5%</w:t>
            </w:r>
          </w:p>
        </w:tc>
        <w:tc>
          <w:tcPr>
            <w:tcW w:type="dxa" w:w="4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RENTA_VARIABLE (556) + RESTANTES reclasif.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Mixtos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MIXTOS (234) + RESTANTES reclasif.</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Renta Fija Corto Plazo</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458</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14.3%</w:t>
            </w:r>
          </w:p>
        </w:tc>
        <w:tc>
          <w:tcPr>
            <w:tcW w:type="dxa" w:w="4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RF_CORTO (14) + RESTANTES reclasif.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Renta Fija Flexible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RF_FLEXIBLE (20) + RESTANTES reclasif.</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Monetario</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105</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3.3%</w:t>
            </w:r>
          </w:p>
        </w:tc>
        <w:tc>
          <w:tcPr>
            <w:tcW w:type="dxa" w:w="4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MONETARIOS (21) + RESTANTES reclasif.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Alternativo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ALTERNATIVOS (29) + RESTANTES reclasif.</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Restantes</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39</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1.2%</w:t>
            </w:r>
          </w:p>
        </w:tc>
        <w:tc>
          <w:tcPr>
            <w:tcW w:type="dxa" w:w="4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RESTANTES (irrecuperables)</w:t>
            </w:r>
          </w:p>
        </w:tc>
      </w:tr>
    </w:tbl>
    <w:p>
      <w:pPr>
        <w:spacing w:after="120"/>
      </w:pPr>
      <w:r>
        <w:t xml:space="preserve"/>
      </w:r>
    </w:p>
    <w:p>
      <w:pPr>
        <w:spacing w:after="80"/>
      </w:pPr>
      <w:r>
        <w:rPr>
          <w:rFonts w:ascii="Arial" w:cs="Arial" w:eastAsia="Arial" w:hAnsi="Arial"/>
          <w:sz w:val="22"/>
          <w:szCs w:val="22"/>
        </w:rPr>
        <w:t xml:space="preserve">El bloque RESTANTES procesó 2.330 fondos (72,7% del universo) y reclasificó 2.291 de ellos (98,3%). Esta cifra refleja que los bloques primarios aplican criterios muy conservadores y que el grueso de la clasificación semántica recae en RESTANTES.</w:t>
      </w:r>
    </w:p>
    <w:p>
      <w:pPr>
        <w:spacing w:after="120"/>
      </w:pPr>
      <w:r>
        <w:t xml:space="preserve"/>
      </w:r>
    </w:p>
    <w:p>
      <w:pPr>
        <w:pStyle w:val="Heading2"/>
      </w:pPr>
      <w:r>
        <w:rPr>
          <w:rFonts w:ascii="Arial" w:cs="Arial" w:eastAsia="Arial" w:hAnsi="Arial"/>
          <w:b/>
          <w:bCs/>
          <w:color w:val="2E5FA3"/>
          <w:sz w:val="26"/>
          <w:szCs w:val="26"/>
        </w:rPr>
        <w:t xml:space="preserve">1.2 Consistencia interna del método</w:t>
      </w:r>
    </w:p>
    <w:p>
      <w:pPr>
        <w:spacing w:after="80"/>
      </w:pPr>
      <w:r>
        <w:rPr>
          <w:rFonts w:ascii="Arial" w:cs="Arial" w:eastAsia="Arial" w:hAnsi="Arial"/>
          <w:sz w:val="22"/>
          <w:szCs w:val="22"/>
        </w:rPr>
        <w:t xml:space="preserve">Los seis bloques primarios muestran consistencia perfecta: el 100% de los fondos clasificados por RENTA_VARIABLE, MIXTOS, MONETARIOS, ALTERNATIVOS, RF_FLEXIBLE y RF_CORTO mantienen coherencia entre Heuristic_Block y Fund_Nature. No existe contaminación cruzada entre bloques.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Bloque Primario</w:t>
            </w:r>
          </w:p>
        </w:tc>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Fondos procesados</w:t>
            </w:r>
          </w:p>
        </w:tc>
        <w:tc>
          <w:tcPr>
            <w:tcW w:type="dxa" w:w="4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Consistencia</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RENTA_VARIABLE</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556</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100%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MIXTOS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MONETARIOS</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21</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100%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ALTERNATIVOS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RF_FLEXIBLE</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20</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100%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RF_CORTO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w:t>
            </w:r>
          </w:p>
        </w:tc>
      </w:tr>
    </w:tbl>
    <w:p>
      <w:pPr>
        <w:spacing w:after="120"/>
      </w:pPr>
      <w:r>
        <w:t xml:space="preserve"/>
      </w:r>
    </w:p>
    <w:p>
      <w:pPr>
        <w:pStyle w:val="Heading2"/>
      </w:pPr>
      <w:r>
        <w:rPr>
          <w:rFonts w:ascii="Arial" w:cs="Arial" w:eastAsia="Arial" w:hAnsi="Arial"/>
          <w:b/>
          <w:bCs/>
          <w:color w:val="2E5FA3"/>
          <w:sz w:val="26"/>
          <w:szCs w:val="26"/>
        </w:rPr>
        <w:t xml:space="preserve">1.3 Cobertura de atributos clave</w:t>
      </w:r>
    </w:p>
    <w:p>
      <w:pPr>
        <w:spacing w:after="80"/>
      </w:pPr>
      <w:r>
        <w:rPr>
          <w:rFonts w:ascii="Arial" w:cs="Arial" w:eastAsia="Arial" w:hAnsi="Arial"/>
          <w:sz w:val="22"/>
          <w:szCs w:val="22"/>
        </w:rPr>
        <w:t xml:space="preserve">La siguiente tabla refleja el estado de completitud del modelo de datos, determinante para la viabilidad de P2 y P3:</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200"/>
        <w:gridCol w:w="4460"/>
      </w:tblGrid>
      <w:tr>
        <w:trPr>
          <w:tblHeader/>
        </w:trPr>
        <w:tc>
          <w:tcPr>
            <w:tcW w:type="dxa" w:w="2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Atributo</w:t>
            </w:r>
          </w:p>
        </w:tc>
        <w:tc>
          <w:tcPr>
            <w:tcW w:type="dxa" w:w="11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Cobertura</w:t>
            </w:r>
          </w:p>
        </w:tc>
        <w:tc>
          <w:tcPr>
            <w:tcW w:type="dxa" w:w="1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Evaluación</w:t>
            </w:r>
          </w:p>
        </w:tc>
        <w:tc>
          <w:tcPr>
            <w:tcW w:type="dxa" w:w="44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Impacto en P2/P3</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Profile (Conservador/Moderado/Dinámico)</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99,0%</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Excelente</w:t>
            </w:r>
          </w:p>
        </w:tc>
        <w:tc>
          <w:tcPr>
            <w:tcW w:type="dxa" w:w="44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Alto — scoring y filtros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(Gestión Activa, Allocation...)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Excelente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Alto — segmentación P3</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Geography</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86,6%</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Bueno</w:t>
            </w:r>
          </w:p>
        </w:tc>
        <w:tc>
          <w:tcPr>
            <w:tcW w:type="dxa" w:w="44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Medio — diversificación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Recommended_Holding_Period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Aceptable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Medio — compatibilidad inversor</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Ongoing_Charge (TER)</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73,7%</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Aceptable</w:t>
            </w:r>
          </w:p>
        </w:tc>
        <w:tc>
          <w:tcPr>
            <w:tcW w:type="dxa" w:w="44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Alto — coste arrastre P3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Is_ESG / Sfdr_Article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62,3% / 60,2%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Mejorable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Medio — filtro ESG</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SRRI (regulatorio)</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66,2%</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Mejorable</w:t>
            </w:r>
          </w:p>
        </w:tc>
        <w:tc>
          <w:tcPr>
            <w:tcW w:type="dxa" w:w="44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Alto — control riesgo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Benchmark_Declared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Deficiente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Alto — análisis alfa P2</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Derivatives_Usage</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59,2%</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Mejorable</w:t>
            </w:r>
          </w:p>
        </w:tc>
        <w:tc>
          <w:tcPr>
            <w:tcW w:type="dxa" w:w="44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Medio — riesgo derivados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Exit_Fee_Pct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Mejorable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Alto — coste rotación P3</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Fund_Currency</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98,2%</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Excelente</w:t>
            </w:r>
          </w:p>
        </w:tc>
        <w:tc>
          <w:tcPr>
            <w:tcW w:type="dxa" w:w="44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Alto — riesgo divisa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Replication_Method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82,7%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Bueno</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Alto — activo vs pasivo</w:t>
            </w:r>
          </w:p>
        </w:tc>
      </w:tr>
    </w:tbl>
    <w:p>
      <w:pPr>
        <w:spacing w:after="120"/>
      </w:pPr>
      <w:r>
        <w:t xml:space="preserve"/>
      </w:r>
    </w:p>
    <w:p>
      <w:pPr>
        <w:pStyle w:val="Heading2"/>
      </w:pPr>
      <w:r>
        <w:rPr>
          <w:rFonts w:ascii="Arial" w:cs="Arial" w:eastAsia="Arial" w:hAnsi="Arial"/>
          <w:b/>
          <w:bCs/>
          <w:color w:val="2E5FA3"/>
          <w:sz w:val="26"/>
          <w:szCs w:val="26"/>
        </w:rPr>
        <w:t xml:space="preserve">1.4 Evaluación de escalabilidad</w:t>
      </w:r>
    </w:p>
    <w:p>
      <w:pPr>
        <w:spacing w:after="80"/>
      </w:pPr>
      <w:r>
        <w:rPr>
          <w:rFonts w:ascii="Arial" w:cs="Arial" w:eastAsia="Arial" w:hAnsi="Arial"/>
          <w:sz w:val="22"/>
          <w:szCs w:val="22"/>
        </w:rPr>
        <w:t xml:space="preserve">El método actual se articula en tres capas de clasificación aplicadas secuencialmente:</w:t>
      </w:r>
    </w:p>
    <w:p>
      <w:pPr>
        <w:spacing w:after="120"/>
      </w:pPr>
      <w:r>
        <w:t xml:space="preserve"/>
      </w:r>
    </w:p>
    <w:p>
      <w:pPr>
        <w:pStyle w:val="ListParagraph"/>
        <w:numPr>
          <w:ilvl w:val="0"/>
          <w:numId w:val="2"/>
        </w:numPr>
        <w:spacing w:after="60"/>
      </w:pPr>
      <w:r>
        <w:rPr>
          <w:rFonts w:ascii="Arial" w:cs="Arial" w:eastAsia="Arial" w:hAnsi="Arial"/>
          <w:sz w:val="22"/>
          <w:szCs w:val="22"/>
        </w:rPr>
        <w:t xml:space="preserve">Capa 1 — Texto KIID (ventana semántica adaptativa DDF/KIID): clasifica por el contenido del documento regulatorio. Es completamente genérica y escalable: cualquier fondo nuevo con KIID en español será clasificado si describe su política de inversión con las frases esperadas.</w:t>
      </w:r>
    </w:p>
    <w:p>
      <w:pPr>
        <w:pStyle w:val="ListParagraph"/>
        <w:numPr>
          <w:ilvl w:val="0"/>
          <w:numId w:val="2"/>
        </w:numPr>
        <w:spacing w:after="60"/>
      </w:pPr>
      <w:r>
        <w:rPr>
          <w:rFonts w:ascii="Arial" w:cs="Arial" w:eastAsia="Arial" w:hAnsi="Arial"/>
          <w:sz w:val="22"/>
          <w:szCs w:val="22"/>
        </w:rPr>
        <w:t xml:space="preserve">Capa 2 — Nombre del fondo (señales genéricas de tipo de producto): detecta keywords de producto ('money market', 'high yield', 'short duration', 'floating rate'...). Es genérica para el tipo de producto, aunque depende de que el nombre describa la naturaleza.</w:t>
      </w:r>
    </w:p>
    <w:p>
      <w:pPr>
        <w:pStyle w:val="ListParagraph"/>
        <w:numPr>
          <w:ilvl w:val="0"/>
          <w:numId w:val="2"/>
        </w:numPr>
        <w:spacing w:after="60"/>
      </w:pPr>
      <w:r>
        <w:rPr>
          <w:rFonts w:ascii="Arial" w:cs="Arial" w:eastAsia="Arial" w:hAnsi="Arial"/>
          <w:sz w:val="22"/>
          <w:szCs w:val="22"/>
        </w:rPr>
        <w:t xml:space="preserve">Capa 3 — Benchmark normalizado (asset_class del benchmark): usa el benchmark extraído del KIID y normalizado contra un mapa de índices conocidos. Completamente escalable: un fondo con MSCI World como benchmark siempre irá a Renta Variable.</w:t>
      </w:r>
    </w:p>
    <w:p>
      <w:pPr>
        <w:spacing w:after="120"/>
      </w:pPr>
      <w:r>
        <w:t xml:space="preserve"/>
      </w:r>
    </w:p>
    <w:p>
      <w:pPr>
        <w:spacing w:after="80"/>
      </w:pPr>
      <w:r>
        <w:rPr>
          <w:rFonts w:ascii="Arial" w:cs="Arial" w:eastAsia="Arial" w:hAnsi="Arial"/>
          <w:b/>
          <w:bCs/>
          <w:sz w:val="22"/>
          <w:szCs w:val="22"/>
        </w:rPr>
        <w:t xml:space="preserve">Punto crítico eliminado durante la sesión: </w:t>
      </w:r>
      <w:r>
        <w:rPr>
          <w:rFonts w:ascii="Arial" w:cs="Arial" w:eastAsia="Arial" w:hAnsi="Arial"/>
          <w:sz w:val="22"/>
          <w:szCs w:val="22"/>
        </w:rPr>
        <w:t xml:space="preserve">Se identificó y revirtió un enfoque basado en señales de nombre personalizadas (nombres de fondos concretos) que cubría hasta 1.711 líneas de código. Este enfoque no era escalable — habría dejado de funcionar en cuanto se actualizara el corpus. La sustitución por las tres capas semánticas genéricas descritas mantiene una cobertura equivalente (~92%) con escalabilidad plena.</w:t>
      </w:r>
    </w:p>
    <w:p>
      <w:pPr>
        <w:spacing w:after="120"/>
      </w:pPr>
      <w:r>
        <w:t xml:space="preserve"/>
      </w:r>
    </w:p>
    <w:p>
      <w:pPr>
        <w:pStyle w:val="Heading2"/>
      </w:pPr>
      <w:r>
        <w:rPr>
          <w:rFonts w:ascii="Arial" w:cs="Arial" w:eastAsia="Arial" w:hAnsi="Arial"/>
          <w:b/>
          <w:bCs/>
          <w:color w:val="2E5FA3"/>
          <w:sz w:val="26"/>
          <w:szCs w:val="26"/>
        </w:rPr>
        <w:t xml:space="preserve">1.5 Limitaciones identificadas (deuda técnica)</w:t>
      </w:r>
    </w:p>
    <w:p>
      <w:pPr>
        <w:pStyle w:val="ListParagraph"/>
        <w:numPr>
          <w:ilvl w:val="0"/>
          <w:numId w:val="2"/>
        </w:numPr>
        <w:spacing w:after="60"/>
      </w:pPr>
      <w:r>
        <w:rPr>
          <w:rFonts w:ascii="Arial" w:cs="Arial" w:eastAsia="Arial" w:hAnsi="Arial"/>
          <w:sz w:val="22"/>
          <w:szCs w:val="22"/>
        </w:rPr>
        <w:t xml:space="preserve">SRRI: 33,8% de fondos sin SRRI extraído. Causa principal: fondos KIID clásicos (pre-2023) donde la escala gráfica del SRRI no es detectada visualmente ni como texto. Impacto: el perfil de riesgo regulatorio no puede confirmarse para 1.082 fondos.</w:t>
      </w:r>
    </w:p>
    <w:p>
      <w:pPr>
        <w:pStyle w:val="ListParagraph"/>
        <w:numPr>
          <w:ilvl w:val="0"/>
          <w:numId w:val="2"/>
        </w:numPr>
        <w:spacing w:after="60"/>
      </w:pPr>
      <w:r>
        <w:rPr>
          <w:rFonts w:ascii="Arial" w:cs="Arial" w:eastAsia="Arial" w:hAnsi="Arial"/>
          <w:sz w:val="22"/>
          <w:szCs w:val="22"/>
        </w:rPr>
        <w:t xml:space="preserve">Benchmark: 45,7% sin benchmark normalizado. Límita el análisis de alfa y la Capa 3 de clasificación. Causa: muchos fondos no declaran benchmark explícito en el KIID, o el parser no lo extrae del texto OCR fusionado.</w:t>
      </w:r>
    </w:p>
    <w:p>
      <w:pPr>
        <w:pStyle w:val="ListParagraph"/>
        <w:numPr>
          <w:ilvl w:val="0"/>
          <w:numId w:val="2"/>
        </w:numPr>
        <w:spacing w:after="60"/>
      </w:pPr>
      <w:r>
        <w:rPr>
          <w:rFonts w:ascii="Arial" w:cs="Arial" w:eastAsia="Arial" w:hAnsi="Arial"/>
          <w:sz w:val="22"/>
          <w:szCs w:val="22"/>
        </w:rPr>
        <w:t xml:space="preserve">Datos MISSING: 38% de RV y 33% de RF_Flexible no tienen SRRI extraído. Impacto directo en la calidad del filtro de riesgo en P3.</w:t>
      </w:r>
    </w:p>
    <w:p>
      <w:pPr>
        <w:pStyle w:val="ListParagraph"/>
        <w:numPr>
          <w:ilvl w:val="0"/>
          <w:numId w:val="2"/>
        </w:numPr>
        <w:spacing w:after="60"/>
      </w:pPr>
      <w:r>
        <w:rPr>
          <w:rFonts w:ascii="Arial" w:cs="Arial" w:eastAsia="Arial" w:hAnsi="Arial"/>
          <w:sz w:val="22"/>
          <w:szCs w:val="22"/>
        </w:rPr>
        <w:t xml:space="preserve">Is_ESG: el fix de SFDR Art.8/9 → Is_ESG=1 funcionó perfectamente (100% de coherencia). Sin embargo, Art.6 no implica Is_ESG=0 necesariamente — 38% de fondos sin Sfdr_Article queda sin clasificar ESG.</w:t>
      </w:r>
    </w:p>
    <w:p>
      <w:pPr>
        <w:pStyle w:val="ListParagraph"/>
        <w:numPr>
          <w:ilvl w:val="0"/>
          <w:numId w:val="2"/>
        </w:numPr>
        <w:spacing w:after="60"/>
      </w:pPr>
      <w:r>
        <w:rPr>
          <w:rFonts w:ascii="Arial" w:cs="Arial" w:eastAsia="Arial" w:hAnsi="Arial"/>
          <w:sz w:val="22"/>
          <w:szCs w:val="22"/>
        </w:rPr>
        <w:t xml:space="preserve">OCR fusionado JPMorgan: 12 fondos JPMorgan con texto completamente fusionado (sin espacios) que impide la detección semántica. Requiere un pre-procesador de OCR específico.</w:t>
      </w:r>
    </w:p>
    <w:p>
      <w:pPr>
        <w:spacing w:after="120"/>
      </w:pPr>
      <w:r>
        <w:t xml:space="preserve"/>
      </w:r>
    </w:p>
    <w:p>
      <w:pPr>
        <w:spacing w:after="0"/>
      </w:pPr>
      <w:r>
        <w:br w:type="page"/>
      </w:r>
    </w:p>
    <w:p>
      <w:pPr>
        <w:pStyle w:val="Heading1"/>
      </w:pPr>
      <w:r>
        <w:rPr>
          <w:rFonts w:ascii="Arial" w:cs="Arial" w:eastAsia="Arial" w:hAnsi="Arial"/>
          <w:b/>
          <w:bCs/>
          <w:sz w:val="32"/>
          <w:szCs w:val="32"/>
        </w:rPr>
        <w:t xml:space="preserve">2. ANÁLISIS DE LOS 39 RESTANTES</w:t>
      </w:r>
    </w:p>
    <w:p>
      <w:pPr>
        <w:pBdr>
          <w:bottom w:val="single" w:color="2E5FA3" w:sz="6" w:space="1"/>
        </w:pBdr>
        <w:spacing w:after="200"/>
      </w:pPr>
    </w:p>
    <w:p>
      <w:pPr>
        <w:pStyle w:val="Heading2"/>
      </w:pPr>
      <w:r>
        <w:rPr>
          <w:rFonts w:ascii="Arial" w:cs="Arial" w:eastAsia="Arial" w:hAnsi="Arial"/>
          <w:b/>
          <w:bCs/>
          <w:color w:val="2E5FA3"/>
          <w:sz w:val="26"/>
          <w:szCs w:val="26"/>
        </w:rPr>
        <w:t xml:space="preserve">2.1 Clasificación por recuperabilidad</w:t>
      </w:r>
    </w:p>
    <w:p>
      <w:pPr>
        <w:spacing w:after="80"/>
      </w:pPr>
      <w:r>
        <w:rPr>
          <w:rFonts w:ascii="Arial" w:cs="Arial" w:eastAsia="Arial" w:hAnsi="Arial"/>
          <w:sz w:val="22"/>
          <w:szCs w:val="22"/>
        </w:rPr>
        <w:t xml:space="preserve">Los 39 fondos en Restantes se dividen en tres grupos con tratamiento diferente: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900"/>
        <w:gridCol w:w="2100"/>
        <w:gridCol w:w="256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Grupo</w:t>
            </w:r>
          </w:p>
        </w:tc>
        <w:tc>
          <w:tcPr>
            <w:tcW w:type="dxa" w:w="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Fondos</w:t>
            </w:r>
          </w:p>
        </w:tc>
        <w:tc>
          <w:tcPr>
            <w:tcW w:type="dxa" w:w="1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Gestoras</w:t>
            </w:r>
          </w:p>
        </w:tc>
        <w:tc>
          <w:tcPr>
            <w:tcW w:type="dxa" w:w="21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Naturaleza correcta</w:t>
            </w:r>
          </w:p>
        </w:tc>
        <w:tc>
          <w:tcPr>
            <w:tcW w:type="dxa" w:w="2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Opción de recuperación</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Estructurados (correcto)</w:t>
            </w:r>
          </w:p>
        </w:tc>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8</w:t>
            </w:r>
          </w:p>
        </w:tc>
        <w:tc>
          <w:tcPr>
            <w:tcW w:type="dxa" w:w="1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Waystone</w:t>
            </w:r>
          </w:p>
        </w:tc>
        <w:tc>
          <w:tcPr>
            <w:tcW w:type="dxa" w:w="2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Estructurado/Autocallable</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Ninguna — es correcto que estén en Restantes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Recuperables con SRRI+señales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JPM, Janus, Vanguard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RV / RF_Flexible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SRRI como árbitro + PASSIVE equity</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Texto semántico insuficiente</w:t>
            </w:r>
          </w:p>
        </w:tc>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12</w:t>
            </w:r>
          </w:p>
        </w:tc>
        <w:tc>
          <w:tcPr>
            <w:tcW w:type="dxa" w:w="1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JPM, Fidelity, MFS, otros</w:t>
            </w:r>
          </w:p>
        </w:tc>
        <w:tc>
          <w:tcPr>
            <w:tcW w:type="dxa" w:w="2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RV / RF_Flexible</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Mejora semántica + SRRI árbitro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Genuinamente irrecuperables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JPM OCR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RV / RF_Flexible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Pre-procesador OCR o re-descarga</w:t>
            </w:r>
          </w:p>
        </w:tc>
      </w:tr>
    </w:tbl>
    <w:p>
      <w:pPr>
        <w:spacing w:after="120"/>
      </w:pPr>
      <w:r>
        <w:t xml:space="preserve"/>
      </w:r>
    </w:p>
    <w:p>
      <w:pPr>
        <w:pStyle w:val="Heading2"/>
      </w:pPr>
      <w:r>
        <w:rPr>
          <w:rFonts w:ascii="Arial" w:cs="Arial" w:eastAsia="Arial" w:hAnsi="Arial"/>
          <w:b/>
          <w:bCs/>
          <w:color w:val="2E5FA3"/>
          <w:sz w:val="26"/>
          <w:szCs w:val="26"/>
        </w:rPr>
        <w:t xml:space="preserve">2.2 Los 8 Estructurados (DB AUTOCALLABLE)</w:t>
      </w:r>
    </w:p>
    <w:p>
      <w:pPr>
        <w:spacing w:after="80"/>
      </w:pPr>
      <w:r>
        <w:rPr>
          <w:rFonts w:ascii="Arial" w:cs="Arial" w:eastAsia="Arial" w:hAnsi="Arial"/>
          <w:sz w:val="22"/>
          <w:szCs w:val="22"/>
        </w:rPr>
        <w:t xml:space="preserve">Los ocho fondos DB AUTOCALLABLE de Waystone están correctamente caracterizados con Type=Estructurado, Subtype=Autocallable y Exposure_Bias=Barrier Risk. Permanecen en Restantes porque el contrato de clasificación del sistema no tiene un bloque primario para productos estructurados — decisión de diseño correcta. No requieren acción.</w:t>
      </w:r>
    </w:p>
    <w:p>
      <w:pPr>
        <w:spacing w:after="120"/>
      </w:pPr>
      <w:r>
        <w:t xml:space="preserve"/>
      </w:r>
    </w:p>
    <w:p>
      <w:pPr>
        <w:pStyle w:val="Heading2"/>
      </w:pPr>
      <w:r>
        <w:rPr>
          <w:rFonts w:ascii="Arial" w:cs="Arial" w:eastAsia="Arial" w:hAnsi="Arial"/>
          <w:b/>
          <w:bCs/>
          <w:color w:val="2E5FA3"/>
          <w:sz w:val="26"/>
          <w:szCs w:val="26"/>
        </w:rPr>
        <w:t xml:space="preserve">2.3 Los 12 fondos JPMorgan con OCR fusionado</w:t>
      </w:r>
    </w:p>
    <w:p>
      <w:pPr>
        <w:spacing w:after="80"/>
      </w:pPr>
      <w:r>
        <w:rPr>
          <w:rFonts w:ascii="Arial" w:cs="Arial" w:eastAsia="Arial" w:hAnsi="Arial"/>
          <w:sz w:val="22"/>
          <w:szCs w:val="22"/>
        </w:rPr>
        <w:t xml:space="preserve">Doce fondos JPMorgan presentan texto completamente fusionado sin espacios ('unaclasedeacciones', 'invirtiendo principalmente enacciones'). El detector de formato ya identifica estos documentos como DDF gracias al marcador 'Finalidad + Producto', pero las señales semánticas de la ventana no pueden encontrar frases porque no hay separadores entre palabras.</w:t>
      </w:r>
    </w:p>
    <w:p>
      <w:pPr>
        <w:spacing w:after="120"/>
      </w:pPr>
      <w:r>
        <w:t xml:space="preserve"/>
      </w:r>
    </w:p>
    <w:p>
      <w:pPr>
        <w:spacing w:after="80"/>
      </w:pPr>
      <w:r>
        <w:rPr>
          <w:rFonts w:ascii="Arial" w:cs="Arial" w:eastAsia="Arial" w:hAnsi="Arial"/>
          <w:b/>
          <w:bCs/>
          <w:sz w:val="22"/>
          <w:szCs w:val="22"/>
        </w:rPr>
        <w:t xml:space="preserve">Señales disponibles alternativas: </w:t>
      </w:r>
      <w:r>
        <w:rPr>
          <w:rFonts w:ascii="Arial" w:cs="Arial" w:eastAsia="Arial" w:hAnsi="Arial"/>
          <w:sz w:val="22"/>
          <w:szCs w:val="22"/>
        </w:rPr>
        <w:t xml:space="preserve">Geography ya detectada (China, Europa, EEUU, Global) + nombre del fondo + keyword en el nombre del producto embebido en el texto ('JPMAsiaPacificEquityFund' → 'equity' → Renta Variable). El fix de detección de 'equity' en el header del documento ya captura algunos casos.</w:t>
      </w:r>
    </w:p>
    <w:p>
      <w:pPr>
        <w:spacing w:after="120"/>
      </w:pPr>
      <w:r>
        <w:t xml:space="preserve"/>
      </w:r>
    </w:p>
    <w:p>
      <w:pPr>
        <w:spacing w:after="80"/>
      </w:pPr>
      <w:r>
        <w:rPr>
          <w:rFonts w:ascii="Arial" w:cs="Arial" w:eastAsia="Arial" w:hAnsi="Arial"/>
          <w:sz w:val="22"/>
          <w:szCs w:val="22"/>
        </w:rPr>
        <w:t xml:space="preserve">Opción escalable: añadir a detect_nature_from_kiid un detector de 'equity' en los primeros 600 caracteres del texto (donde aparece el nombre del producto) con guarda anti-falso-positivo (excluir si 'bond' también aparece en el nombre del producto).</w:t>
      </w:r>
    </w:p>
    <w:p>
      <w:pPr>
        <w:spacing w:after="120"/>
      </w:pPr>
      <w:r>
        <w:t xml:space="preserve"/>
      </w:r>
    </w:p>
    <w:p>
      <w:pPr>
        <w:pStyle w:val="Heading2"/>
      </w:pPr>
      <w:r>
        <w:rPr>
          <w:rFonts w:ascii="Arial" w:cs="Arial" w:eastAsia="Arial" w:hAnsi="Arial"/>
          <w:b/>
          <w:bCs/>
          <w:color w:val="2E5FA3"/>
          <w:sz w:val="26"/>
          <w:szCs w:val="26"/>
        </w:rPr>
        <w:t xml:space="preserve">2.4 Los 6 fondos Fidelity Global Dividend</w:t>
      </w:r>
    </w:p>
    <w:p>
      <w:pPr>
        <w:spacing w:after="80"/>
      </w:pPr>
      <w:r>
        <w:rPr>
          <w:rFonts w:ascii="Arial" w:cs="Arial" w:eastAsia="Arial" w:hAnsi="Arial"/>
          <w:sz w:val="22"/>
          <w:szCs w:val="22"/>
        </w:rPr>
        <w:t xml:space="preserve">Los cuatro fondos FIDELITY GL DIVIDEND / GBL DIV / GLO DIVDND no clasifican porque el texto KIID usa frases como 'ingresos mediante dividendos' sin usar 'renta variable de' ni señales directas de inversión en acciones. Los fondos de dividendos son universalmente de Renta Variable.</w:t>
      </w:r>
    </w:p>
    <w:p>
      <w:pPr>
        <w:spacing w:after="120"/>
      </w:pPr>
      <w:r>
        <w:t xml:space="preserve"/>
      </w:r>
    </w:p>
    <w:p>
      <w:pPr>
        <w:spacing w:after="80"/>
      </w:pPr>
      <w:r>
        <w:rPr>
          <w:rFonts w:ascii="Arial" w:cs="Arial" w:eastAsia="Arial" w:hAnsi="Arial"/>
          <w:b/>
          <w:bCs/>
          <w:sz w:val="22"/>
          <w:szCs w:val="22"/>
        </w:rPr>
        <w:t xml:space="preserve">Opción escalable: </w:t>
      </w:r>
      <w:r>
        <w:rPr>
          <w:rFonts w:ascii="Arial" w:cs="Arial" w:eastAsia="Arial" w:hAnsi="Arial"/>
          <w:sz w:val="22"/>
          <w:szCs w:val="22"/>
        </w:rPr>
        <w:t xml:space="preserve">añadir a has_equity las señales 'dividendos de acciones', 'dividend yield', 'ingresos por dividendos' y 'dividend income'. Estas frases son genéricas para cualquier fondo equity orientado a dividendos, no específicas de Fidelity.</w:t>
      </w:r>
    </w:p>
    <w:p>
      <w:pPr>
        <w:spacing w:after="120"/>
      </w:pPr>
      <w:r>
        <w:t xml:space="preserve"/>
      </w:r>
    </w:p>
    <w:p>
      <w:pPr>
        <w:pStyle w:val="Heading2"/>
      </w:pPr>
      <w:r>
        <w:rPr>
          <w:rFonts w:ascii="Arial" w:cs="Arial" w:eastAsia="Arial" w:hAnsi="Arial"/>
          <w:b/>
          <w:bCs/>
          <w:color w:val="2E5FA3"/>
          <w:sz w:val="26"/>
          <w:szCs w:val="26"/>
        </w:rPr>
        <w:t xml:space="preserve">2.5 Los 3-4 fondos MFS Global Total Return / Meridian Credit</w:t>
      </w:r>
    </w:p>
    <w:p>
      <w:pPr>
        <w:spacing w:after="80"/>
      </w:pPr>
      <w:r>
        <w:rPr>
          <w:rFonts w:ascii="Arial" w:cs="Arial" w:eastAsia="Arial" w:hAnsi="Arial"/>
          <w:sz w:val="22"/>
          <w:szCs w:val="22"/>
        </w:rPr>
        <w:t xml:space="preserve">El MFS Global Total Return (SRRI=3) es un fondo multi-sector de renta fija que debería ir a RF_Flexible. La señal 'renta variable' aparece incidentalmente en el texto (en una frase sobre riesgo) pero no como objetivo de inversión. El fix de 'renta variable de' (en lugar de 'renta variable' sola) eliminó el falso positivo pero no añadió la señal de RF correcta.</w:t>
      </w:r>
    </w:p>
    <w:p>
      <w:pPr>
        <w:spacing w:after="120"/>
      </w:pPr>
      <w:r>
        <w:t xml:space="preserve"/>
      </w:r>
    </w:p>
    <w:p>
      <w:pPr>
        <w:spacing w:after="80"/>
      </w:pPr>
      <w:r>
        <w:rPr>
          <w:rFonts w:ascii="Arial" w:cs="Arial" w:eastAsia="Arial" w:hAnsi="Arial"/>
          <w:b/>
          <w:bCs/>
          <w:sz w:val="22"/>
          <w:szCs w:val="22"/>
        </w:rPr>
        <w:t xml:space="preserve">Opción escalable: </w:t>
      </w:r>
      <w:r>
        <w:rPr>
          <w:rFonts w:ascii="Arial" w:cs="Arial" w:eastAsia="Arial" w:hAnsi="Arial"/>
          <w:sz w:val="22"/>
          <w:szCs w:val="22"/>
        </w:rPr>
        <w:t xml:space="preserve">usar el SRRI=3 como árbitro cuando name y text no clasifican. Con SRRI=3 y sin señal de equity dominante → _RF_pending → RF_Flexible. Esto es una regla genérica válida para cualquier fondo.</w:t>
      </w:r>
    </w:p>
    <w:p>
      <w:pPr>
        <w:spacing w:after="120"/>
      </w:pPr>
      <w:r>
        <w:t xml:space="preserve"/>
      </w:r>
    </w:p>
    <w:p>
      <w:pPr>
        <w:pStyle w:val="Heading2"/>
      </w:pPr>
      <w:r>
        <w:rPr>
          <w:rFonts w:ascii="Arial" w:cs="Arial" w:eastAsia="Arial" w:hAnsi="Arial"/>
          <w:b/>
          <w:bCs/>
          <w:color w:val="2E5FA3"/>
          <w:sz w:val="26"/>
          <w:szCs w:val="26"/>
        </w:rPr>
        <w:t xml:space="preserve">2.6 Los 3 fondos Vanguard índice pasivo</w:t>
      </w:r>
    </w:p>
    <w:p>
      <w:pPr>
        <w:spacing w:after="80"/>
      </w:pPr>
      <w:r>
        <w:rPr>
          <w:rFonts w:ascii="Arial" w:cs="Arial" w:eastAsia="Arial" w:hAnsi="Arial"/>
          <w:sz w:val="22"/>
          <w:szCs w:val="22"/>
        </w:rPr>
        <w:t xml:space="preserve">Vanguard Pacific ex-Japan, Vanguard US 500 (dos clases) son índices pasivos con Replication_Method=PASSIVE. El benchmark del Pac ex-Japan es 'msci pacific ex japan index' (detectado) pero los US 500 no tienen benchmark declarado en el KIID. Todos son claramente Renta Variable.</w:t>
      </w:r>
    </w:p>
    <w:p>
      <w:pPr>
        <w:spacing w:after="120"/>
      </w:pPr>
      <w:r>
        <w:t xml:space="preserve"/>
      </w:r>
    </w:p>
    <w:p>
      <w:pPr>
        <w:spacing w:after="80"/>
      </w:pPr>
      <w:r>
        <w:rPr>
          <w:rFonts w:ascii="Arial" w:cs="Arial" w:eastAsia="Arial" w:hAnsi="Arial"/>
          <w:b/>
          <w:bCs/>
          <w:sz w:val="22"/>
          <w:szCs w:val="22"/>
        </w:rPr>
        <w:t xml:space="preserve">Opción escalable: </w:t>
      </w:r>
      <w:r>
        <w:rPr>
          <w:rFonts w:ascii="Arial" w:cs="Arial" w:eastAsia="Arial" w:hAnsi="Arial"/>
          <w:sz w:val="22"/>
          <w:szCs w:val="22"/>
        </w:rPr>
        <w:t xml:space="preserve">si Replication_Method=PASSIVE y el texto menciona 'índice' o 'index' en la ventana de objetivos → Renta Variable (los fondos monetarios pasivos son prácticamente inexistentes; los de renta fija pasiva requieren el benchmark para distinguirlos). Regla genérica aplicable a cualquier fondo pasivo nuevo.</w:t>
      </w:r>
    </w:p>
    <w:p>
      <w:pPr>
        <w:spacing w:after="120"/>
      </w:pPr>
      <w:r>
        <w:t xml:space="preserve"/>
      </w:r>
    </w:p>
    <w:p>
      <w:pPr>
        <w:pStyle w:val="Heading2"/>
      </w:pPr>
      <w:r>
        <w:rPr>
          <w:rFonts w:ascii="Arial" w:cs="Arial" w:eastAsia="Arial" w:hAnsi="Arial"/>
          <w:b/>
          <w:bCs/>
          <w:color w:val="2E5FA3"/>
          <w:sz w:val="26"/>
          <w:szCs w:val="26"/>
        </w:rPr>
        <w:t xml:space="preserve">2.7 Los 2 fondos Janus Henderson Continental European</w:t>
      </w:r>
    </w:p>
    <w:p>
      <w:pPr>
        <w:spacing w:after="80"/>
      </w:pPr>
      <w:r>
        <w:rPr>
          <w:rFonts w:ascii="Arial" w:cs="Arial" w:eastAsia="Arial" w:hAnsi="Arial"/>
          <w:sz w:val="22"/>
          <w:szCs w:val="22"/>
        </w:rPr>
        <w:t xml:space="preserve">JANUS H CONT EUROP y JANUS H CONTINENTL EUROP tienen SRRI=4, Geography=EEUU (error de asignación — son fondos europeos), y el texto está correctamente parseable. El problema es que el nombre abreviado no dispara señales y el texto tampoco contiene frases dominantes de equity.</w:t>
      </w:r>
    </w:p>
    <w:p>
      <w:pPr>
        <w:spacing w:after="120"/>
      </w:pPr>
      <w:r>
        <w:t xml:space="preserve"/>
      </w:r>
    </w:p>
    <w:p>
      <w:pPr>
        <w:spacing w:after="80"/>
      </w:pPr>
      <w:r>
        <w:rPr>
          <w:rFonts w:ascii="Arial" w:cs="Arial" w:eastAsia="Arial" w:hAnsi="Arial"/>
          <w:b/>
          <w:bCs/>
          <w:sz w:val="22"/>
          <w:szCs w:val="22"/>
        </w:rPr>
        <w:t xml:space="preserve">Señal disponible: </w:t>
      </w:r>
      <w:r>
        <w:rPr>
          <w:rFonts w:ascii="Arial" w:cs="Arial" w:eastAsia="Arial" w:hAnsi="Arial"/>
          <w:sz w:val="22"/>
          <w:szCs w:val="22"/>
        </w:rPr>
        <w:t xml:space="preserve">SRRI=4 + ausencia de señales de RF → campo libre. Con la regla 'SRRI≥5 → RV tentativa' ya implementada, estos fondos con SRRI=4 quedan en zona gris. Propuesta: SRRI=4 sin señal de RF y con señal de equity débil (Geography detectada o 'europ' en el nombre) → Renta Variable tentativa.</w:t>
      </w:r>
    </w:p>
    <w:p>
      <w:pPr>
        <w:spacing w:after="120"/>
      </w:pPr>
      <w:r>
        <w:t xml:space="preserve"/>
      </w:r>
    </w:p>
    <w:p>
      <w:pPr>
        <w:pStyle w:val="Heading2"/>
      </w:pPr>
      <w:r>
        <w:rPr>
          <w:rFonts w:ascii="Arial" w:cs="Arial" w:eastAsia="Arial" w:hAnsi="Arial"/>
          <w:b/>
          <w:bCs/>
          <w:color w:val="2E5FA3"/>
          <w:sz w:val="26"/>
          <w:szCs w:val="26"/>
        </w:rPr>
        <w:t xml:space="preserve">2.8 Resumen de opciones escalables de recuperación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1700"/>
        <w:gridCol w:w="2560"/>
      </w:tblGrid>
      <w:tr>
        <w:trPr>
          <w:tblHeader/>
        </w:trPr>
        <w:tc>
          <w:tcPr>
            <w:tcW w:type="dxa" w:w="3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Opción</w:t>
            </w:r>
          </w:p>
        </w:tc>
        <w:tc>
          <w:tcPr>
            <w:tcW w:type="dxa" w:w="17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Fondos recuperables</w:t>
            </w:r>
          </w:p>
        </w:tc>
        <w:tc>
          <w:tcPr>
            <w:tcW w:type="dxa" w:w="17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Escalabilidad</w:t>
            </w:r>
          </w:p>
        </w:tc>
        <w:tc>
          <w:tcPr>
            <w:tcW w:type="dxa" w:w="2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Complejidad</w:t>
            </w:r>
          </w:p>
        </w:tc>
      </w:tr>
      <w:tr>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SRRI≥5 sin señal RF → RV tentativa</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 JPM (SRRI=5)</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Alta — regla genérica</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Baja</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SRRI=2 sin señal equity → RF_Corto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(R-CO SRRI=2)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Baja</w:t>
            </w:r>
          </w:p>
        </w:tc>
      </w:tr>
      <w:tr>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SRRI=3 sin equity dominante → RF_pending</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 MFS (SRRI=3)</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Alta</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Baja</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PASSIVE + 'índice/index' en texto → RV</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Vanguard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Baja</w:t>
            </w:r>
          </w:p>
        </w:tc>
      </w:tr>
      <w:tr>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'dividend' en texto → has_equity</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~4-6 Fidelity</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Alta</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Baja</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'equity' en product name header → RV (con guarda)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~8-10 JPM OCR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w:t>
            </w:r>
          </w:p>
        </w:tc>
      </w:tr>
      <w:tr>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Pre-procesador OCR (reinsertar espacios)</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~12 JPM completos</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Alta</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Alta</w:t>
            </w:r>
          </w:p>
        </w:tc>
      </w:tr>
    </w:tbl>
    <w:p>
      <w:pPr>
        <w:spacing w:after="120"/>
      </w:pPr>
      <w:r>
        <w:t xml:space="preserve"/>
      </w:r>
    </w:p>
    <w:p>
      <w:pPr>
        <w:spacing w:after="0"/>
      </w:pPr>
      <w:r>
        <w:br w:type="page"/>
      </w:r>
    </w:p>
    <w:p>
      <w:pPr>
        <w:pStyle w:val="Heading1"/>
      </w:pPr>
      <w:r>
        <w:rPr>
          <w:rFonts w:ascii="Arial" w:cs="Arial" w:eastAsia="Arial" w:hAnsi="Arial"/>
          <w:b/>
          <w:bCs/>
          <w:sz w:val="32"/>
          <w:szCs w:val="32"/>
        </w:rPr>
        <w:t xml:space="preserve">3. INCONSISTENCIAS EN FUND_FAMILY_BUILDER</w:t>
      </w:r>
    </w:p>
    <w:p>
      <w:pPr>
        <w:pBdr>
          <w:bottom w:val="single" w:color="2E5FA3" w:sz="6" w:space="1"/>
        </w:pBdr>
        <w:spacing w:after="200"/>
      </w:pPr>
    </w:p>
    <w:p>
      <w:pPr>
        <w:spacing w:after="80"/>
      </w:pPr>
      <w:r>
        <w:rPr>
          <w:rFonts w:ascii="Arial" w:cs="Arial" w:eastAsia="Arial" w:hAnsi="Arial"/>
          <w:sz w:val="22"/>
          <w:szCs w:val="22"/>
        </w:rPr>
        <w:t xml:space="preserve">El fund_family_builder detectó 10 familias con Fund_Nature inconsistente entre clases. Las clasificamos en tres tipos:</w:t>
      </w:r>
    </w:p>
    <w:p>
      <w:pPr>
        <w:spacing w:after="120"/>
      </w:pPr>
      <w:r>
        <w:t xml:space="preserve"/>
      </w:r>
    </w:p>
    <w:p>
      <w:pPr>
        <w:pStyle w:val="Heading2"/>
      </w:pPr>
      <w:r>
        <w:rPr>
          <w:rFonts w:ascii="Arial" w:cs="Arial" w:eastAsia="Arial" w:hAnsi="Arial"/>
          <w:b/>
          <w:bCs/>
          <w:color w:val="2E5FA3"/>
          <w:sz w:val="26"/>
          <w:szCs w:val="26"/>
        </w:rPr>
        <w:t xml:space="preserve">3.1 Inconsistencias por reclasificación del bloque RESTANTES (nuevas)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700"/>
        <w:gridCol w:w="2860"/>
        <w:gridCol w:w="2000"/>
      </w:tblGrid>
      <w:tr>
        <w:trPr>
          <w:tblHeader/>
        </w:trPr>
        <w:tc>
          <w:tcPr>
            <w:tcW w:type="dxa" w:w="1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FAM</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Fondos</w:t>
            </w:r>
          </w:p>
        </w:tc>
        <w:tc>
          <w:tcPr>
            <w:tcW w:type="dxa" w:w="17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Naturales</w:t>
            </w:r>
          </w:p>
        </w:tc>
        <w:tc>
          <w:tcPr>
            <w:tcW w:type="dxa" w:w="28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Causa</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Acción</w:t>
            </w:r>
          </w:p>
        </w:tc>
      </w:tr>
      <w:tr>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FAM_000945/946</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DWS MULTI OPP</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Mixtos vs RF_Corto</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Señal de 'corto plazo' en texto dispara incorrectamente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Revisar ventana — texto menciona 'corto plazo' como contexto de riesgo, no como objetivo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FAM_001604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JPM GL BOND OPP</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Mixtos vs RF_Flexible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Una clase tiene señal mixta de equity+bonds, otra 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RF_Flexible correcto. Añadir señal 'bond opportunities' a RF_Flexible</w:t>
            </w:r>
          </w:p>
        </w:tc>
      </w:tr>
    </w:tbl>
    <w:p>
      <w:pPr>
        <w:spacing w:after="120"/>
      </w:pPr>
      <w:r>
        <w:t xml:space="preserve"/>
      </w:r>
    </w:p>
    <w:p>
      <w:pPr>
        <w:pStyle w:val="Heading2"/>
      </w:pPr>
      <w:r>
        <w:rPr>
          <w:rFonts w:ascii="Arial" w:cs="Arial" w:eastAsia="Arial" w:hAnsi="Arial"/>
          <w:b/>
          <w:bCs/>
          <w:color w:val="2E5FA3"/>
          <w:sz w:val="26"/>
          <w:szCs w:val="26"/>
        </w:rPr>
        <w:t xml:space="preserve">3.2 Inconsistencias persistentes (estructurales)</w:t>
      </w:r>
    </w:p>
    <w:p>
      <w:pPr>
        <w:spacing w:after="80"/>
      </w:pPr>
      <w:r>
        <w:rPr>
          <w:rFonts w:ascii="Arial" w:cs="Arial" w:eastAsia="Arial" w:hAnsi="Arial"/>
          <w:sz w:val="22"/>
          <w:szCs w:val="22"/>
        </w:rPr>
        <w:t xml:space="preserve">Seis familias mantienen inconsistencias de descubrimientos anteriores. Son casos donde clases del mismo fondo tienen KIIDs con texto suficientemente diferente para producir resultados distintos: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600"/>
        <w:gridCol w:w="4260"/>
      </w:tblGrid>
      <w:tr>
        <w:trPr>
          <w:tblHeader/>
        </w:trPr>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FAM</w:t>
            </w:r>
          </w:p>
        </w:tc>
        <w:tc>
          <w:tcPr>
            <w:tcW w:type="dxa" w:w="17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Naturaleza correcta</w:t>
            </w:r>
          </w:p>
        </w:tc>
        <w:tc>
          <w:tcPr>
            <w:tcW w:type="dxa" w:w="1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Clasificación actual</w:t>
            </w:r>
          </w:p>
        </w:tc>
        <w:tc>
          <w:tcPr>
            <w:tcW w:type="dxa" w:w="42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Diagnóstico</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FAM_000121 AMUNDI EUROLAND EQ</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Renta Variable</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Monetario + RV</w:t>
            </w:r>
          </w:p>
        </w:tc>
        <w:tc>
          <w:tcPr>
            <w:tcW w:type="dxa" w:w="4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Algunas clases en el bloque Monetarios — señal de nombre 'euroland' es ambigua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FAM_000513 BNP SMART FOOD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Renta Variable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Monetario + RV</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Idem — bloque Monetarios captura incorrectamente algunas clases</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FAM_001293 TEMPLETON GLOBAL INCOME</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Renta Variable</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Mixtos + RV</w:t>
            </w:r>
          </w:p>
        </w:tc>
        <w:tc>
          <w:tcPr>
            <w:tcW w:type="dxa" w:w="4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Income = dividendos de RV, no mixto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FAM_001343 GS GBL EQ INCOME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Renta Variable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Mixtos + RV</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Equity Income = RV, el 'income' dispara mixtos</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FAM_001697 JPM US VALUE</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Renta Variable</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Alternativo + RV</w:t>
            </w:r>
          </w:p>
        </w:tc>
        <w:tc>
          <w:tcPr>
            <w:tcW w:type="dxa" w:w="4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Value = estrategia activa de RV, no alternativa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FAM_001794 MFS EME MKT DEBT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RF_Flexible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RF_Corto + RF_Flexible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 Debt no es corto plazo</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FAM_001794 MFS EME MKT DEBT</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RF_Flexible</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RF_Corto + RF_Flexible</w:t>
            </w:r>
          </w:p>
        </w:tc>
        <w:tc>
          <w:tcPr>
            <w:tcW w:type="dxa" w:w="4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EM Debt no es corto plazo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FAM_001897 THEMATICS SAFETY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Renta Variable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Alternativo + RV</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Safety thematic = RV, no alternativa</w:t>
            </w:r>
          </w:p>
        </w:tc>
      </w:tr>
    </w:tbl>
    <w:p>
      <w:pPr>
        <w:spacing w:after="120"/>
      </w:pPr>
      <w:r>
        <w:t xml:space="preserve"/>
      </w:r>
    </w:p>
    <w:p>
      <w:pPr>
        <w:spacing w:after="80"/>
      </w:pPr>
      <w:r>
        <w:rPr>
          <w:rFonts w:ascii="Arial" w:cs="Arial" w:eastAsia="Arial" w:hAnsi="Arial"/>
          <w:sz w:val="22"/>
          <w:szCs w:val="22"/>
        </w:rPr>
        <w:t xml:space="preserve">Estas inconsistencias estructurales apuntan a tres causas raíz: (a) términos 'income' e 'income oriented' clasificados como Mixtos en lugar de RV, (b) términos 'value' y 'safety' disparando Alternativo, y (c) algunas clases con texto KIID diferente al resto de la familia producen resultados divergentes.</w:t>
      </w:r>
    </w:p>
    <w:p>
      <w:pPr>
        <w:spacing w:after="120"/>
      </w:pPr>
      <w:r>
        <w:t xml:space="preserve"/>
      </w:r>
    </w:p>
    <w:p>
      <w:pPr>
        <w:spacing w:after="0"/>
      </w:pPr>
      <w:r>
        <w:br w:type="page"/>
      </w:r>
    </w:p>
    <w:p>
      <w:pPr>
        <w:pStyle w:val="Heading1"/>
      </w:pPr>
      <w:r>
        <w:rPr>
          <w:rFonts w:ascii="Arial" w:cs="Arial" w:eastAsia="Arial" w:hAnsi="Arial"/>
          <w:b/>
          <w:bCs/>
          <w:sz w:val="32"/>
          <w:szCs w:val="32"/>
        </w:rPr>
        <w:t xml:space="preserve">4. REQUERIMIENTOS DE PROYECTO 2 Y 3</w:t>
      </w:r>
    </w:p>
    <w:p>
      <w:pPr>
        <w:pBdr>
          <w:bottom w:val="single" w:color="2E5FA3" w:sz="6" w:space="1"/>
        </w:pBdr>
        <w:spacing w:after="200"/>
      </w:pPr>
    </w:p>
    <w:p>
      <w:pPr>
        <w:pStyle w:val="Heading2"/>
      </w:pPr>
      <w:r>
        <w:rPr>
          <w:rFonts w:ascii="Arial" w:cs="Arial" w:eastAsia="Arial" w:hAnsi="Arial"/>
          <w:b/>
          <w:bCs/>
          <w:color w:val="2E5FA3"/>
          <w:sz w:val="26"/>
          <w:szCs w:val="26"/>
        </w:rPr>
        <w:t xml:space="preserve">4.1 Arquitectura del modelo de decisión de inversión</w:t>
      </w:r>
    </w:p>
    <w:p>
      <w:pPr>
        <w:spacing w:after="80"/>
      </w:pPr>
      <w:r>
        <w:rPr>
          <w:rFonts w:ascii="Arial" w:cs="Arial" w:eastAsia="Arial" w:hAnsi="Arial"/>
          <w:sz w:val="22"/>
          <w:szCs w:val="22"/>
        </w:rPr>
        <w:t xml:space="preserve">El modelo de gestión de cartera que se plantea opera en tres niveles jerárquicos: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2400"/>
        <w:gridCol w:w="2860"/>
      </w:tblGrid>
      <w:tr>
        <w:trPr>
          <w:tblHeader/>
        </w:trPr>
        <w:tc>
          <w:tcPr>
            <w:tcW w:type="dxa" w:w="21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Nivel</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Inputs de P1</w:t>
            </w:r>
          </w:p>
        </w:tc>
        <w:tc>
          <w:tcPr>
            <w:tcW w:type="dxa" w:w="28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Outputs</w:t>
            </w:r>
          </w:p>
        </w:tc>
      </w:tr>
      <w:tr>
        <w:tc>
          <w:tcPr>
            <w:tcW w:type="dxa" w:w="2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Identificación de Régimen Macro</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Proyecto 3 (régimen)</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Indicadores macro externos</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Régimen activo (Expansión / Estanflación / Recesión / Deflación)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Selección de Naturaleza y Pesos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Proyecto 3 (portfolio)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Fund_Nature, Profile, SRRI, Type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Distribución óptima por bloque funcional</w:t>
            </w:r>
          </w:p>
        </w:tc>
      </w:tr>
      <w:tr>
        <w:tc>
          <w:tcPr>
            <w:tcW w:type="dxa" w:w="2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Selección de Fondos Individuales</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Proyecto 3 (scoring)</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Métricas P2 + atributos P1</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Fondo concreto por bloque, con peso asignado</w:t>
            </w:r>
          </w:p>
        </w:tc>
      </w:tr>
    </w:tbl>
    <w:p>
      <w:pPr>
        <w:spacing w:after="120"/>
      </w:pPr>
      <w:r>
        <w:t xml:space="preserve"/>
      </w:r>
    </w:p>
    <w:p>
      <w:pPr>
        <w:pStyle w:val="Heading2"/>
      </w:pPr>
      <w:r>
        <w:rPr>
          <w:rFonts w:ascii="Arial" w:cs="Arial" w:eastAsia="Arial" w:hAnsi="Arial"/>
          <w:b/>
          <w:bCs/>
          <w:color w:val="2E5FA3"/>
          <w:sz w:val="26"/>
          <w:szCs w:val="26"/>
        </w:rPr>
        <w:t xml:space="preserve">4.2 Requerimientos de P1 para Proyecto 2</w:t>
      </w:r>
    </w:p>
    <w:p>
      <w:pPr>
        <w:spacing w:after="80"/>
      </w:pPr>
      <w:r>
        <w:rPr>
          <w:rFonts w:ascii="Arial" w:cs="Arial" w:eastAsia="Arial" w:hAnsi="Arial"/>
          <w:sz w:val="22"/>
          <w:szCs w:val="22"/>
        </w:rPr>
        <w:t xml:space="preserve">Proyecto 2 necesita los siguientes atributos del modelo de datos de P1 para calcular sus métricas:</w:t>
      </w:r>
    </w:p>
    <w:p>
      <w:pPr>
        <w:spacing w:after="120"/>
      </w:pPr>
      <w:r>
        <w:t xml:space="preserve"/>
      </w:r>
    </w:p>
    <w:p>
      <w:pPr>
        <w:pStyle w:val="Heading3"/>
      </w:pPr>
      <w:r>
        <w:rPr>
          <w:rFonts w:ascii="Arial" w:cs="Arial" w:eastAsia="Arial" w:hAnsi="Arial"/>
          <w:b/>
          <w:bCs/>
          <w:color w:val="4472C4"/>
          <w:sz w:val="24"/>
          <w:szCs w:val="24"/>
        </w:rPr>
        <w:t xml:space="preserve">Atributos imprescindibles (bloqueantes si faltan)</w:t>
      </w:r>
    </w:p>
    <w:p>
      <w:pPr>
        <w:pStyle w:val="ListParagraph"/>
        <w:numPr>
          <w:ilvl w:val="0"/>
          <w:numId w:val="2"/>
        </w:numPr>
        <w:spacing w:after="60"/>
      </w:pPr>
      <w:r>
        <w:rPr>
          <w:rFonts w:ascii="Arial" w:cs="Arial" w:eastAsia="Arial" w:hAnsi="Arial"/>
          <w:sz w:val="22"/>
          <w:szCs w:val="22"/>
        </w:rPr>
        <w:t xml:space="preserve">ISIN: clave primaria para join con series NAV</w:t>
      </w:r>
    </w:p>
    <w:p>
      <w:pPr>
        <w:pStyle w:val="ListParagraph"/>
        <w:numPr>
          <w:ilvl w:val="0"/>
          <w:numId w:val="2"/>
        </w:numPr>
        <w:spacing w:after="60"/>
      </w:pPr>
      <w:r>
        <w:rPr>
          <w:rFonts w:ascii="Arial" w:cs="Arial" w:eastAsia="Arial" w:hAnsi="Arial"/>
          <w:sz w:val="22"/>
          <w:szCs w:val="22"/>
        </w:rPr>
        <w:t xml:space="preserve">Fund_Nature: define el universo de comparación en cada cálculo de métricas</w:t>
      </w:r>
    </w:p>
    <w:p>
      <w:pPr>
        <w:pStyle w:val="ListParagraph"/>
        <w:numPr>
          <w:ilvl w:val="0"/>
          <w:numId w:val="2"/>
        </w:numPr>
        <w:spacing w:after="60"/>
      </w:pPr>
      <w:r>
        <w:rPr>
          <w:rFonts w:ascii="Arial" w:cs="Arial" w:eastAsia="Arial" w:hAnsi="Arial"/>
          <w:sz w:val="22"/>
          <w:szCs w:val="22"/>
        </w:rPr>
        <w:t xml:space="preserve">Fund_Currency: necesario para deflactar NAV y calcular retorno real en divisa base</w:t>
      </w:r>
    </w:p>
    <w:p>
      <w:pPr>
        <w:pStyle w:val="ListParagraph"/>
        <w:numPr>
          <w:ilvl w:val="0"/>
          <w:numId w:val="2"/>
        </w:numPr>
        <w:spacing w:after="60"/>
      </w:pPr>
      <w:r>
        <w:rPr>
          <w:rFonts w:ascii="Arial" w:cs="Arial" w:eastAsia="Arial" w:hAnsi="Arial"/>
          <w:sz w:val="22"/>
          <w:szCs w:val="22"/>
        </w:rPr>
        <w:t xml:space="preserve">Profile / SRRI: define los límites de drawdown aceptables por perfil</w:t>
      </w:r>
    </w:p>
    <w:p>
      <w:pPr>
        <w:spacing w:after="120"/>
      </w:pPr>
      <w:r>
        <w:t xml:space="preserve"/>
      </w:r>
    </w:p>
    <w:p>
      <w:pPr>
        <w:pStyle w:val="Heading3"/>
      </w:pPr>
      <w:r>
        <w:rPr>
          <w:rFonts w:ascii="Arial" w:cs="Arial" w:eastAsia="Arial" w:hAnsi="Arial"/>
          <w:b/>
          <w:bCs/>
          <w:color w:val="4472C4"/>
          <w:sz w:val="24"/>
          <w:szCs w:val="24"/>
        </w:rPr>
        <w:t xml:space="preserve">Atributos importantes (degradan calidad si faltan)</w:t>
      </w:r>
    </w:p>
    <w:p>
      <w:pPr>
        <w:pStyle w:val="ListParagraph"/>
        <w:numPr>
          <w:ilvl w:val="0"/>
          <w:numId w:val="2"/>
        </w:numPr>
        <w:spacing w:after="60"/>
      </w:pPr>
      <w:r>
        <w:rPr>
          <w:rFonts w:ascii="Arial" w:cs="Arial" w:eastAsia="Arial" w:hAnsi="Arial"/>
          <w:sz w:val="22"/>
          <w:szCs w:val="22"/>
        </w:rPr>
        <w:t xml:space="preserve">Benchmark_Declared: sin benchmark no se puede calcular alfa, tracking error ni ratio de información (66,2% de cobertura — mejora pendiente)</w:t>
      </w:r>
    </w:p>
    <w:p>
      <w:pPr>
        <w:pStyle w:val="ListParagraph"/>
        <w:numPr>
          <w:ilvl w:val="0"/>
          <w:numId w:val="2"/>
        </w:numPr>
        <w:spacing w:after="60"/>
      </w:pPr>
      <w:r>
        <w:rPr>
          <w:rFonts w:ascii="Arial" w:cs="Arial" w:eastAsia="Arial" w:hAnsi="Arial"/>
          <w:sz w:val="22"/>
          <w:szCs w:val="22"/>
        </w:rPr>
        <w:t xml:space="preserve">Replication_Method: distingue fondos activos (donde alfa tiene significado) de pasivos (donde lo relevante es el tracking error)</w:t>
      </w:r>
    </w:p>
    <w:p>
      <w:pPr>
        <w:pStyle w:val="ListParagraph"/>
        <w:numPr>
          <w:ilvl w:val="0"/>
          <w:numId w:val="2"/>
        </w:numPr>
        <w:spacing w:after="60"/>
      </w:pPr>
      <w:r>
        <w:rPr>
          <w:rFonts w:ascii="Arial" w:cs="Arial" w:eastAsia="Arial" w:hAnsi="Arial"/>
          <w:sz w:val="22"/>
          <w:szCs w:val="22"/>
        </w:rPr>
        <w:t xml:space="preserve">Derivatives_Usage: determina si las métricas de riesgo deben ajustarse por exposición sintética</w:t>
      </w:r>
    </w:p>
    <w:p>
      <w:pPr>
        <w:pStyle w:val="ListParagraph"/>
        <w:numPr>
          <w:ilvl w:val="0"/>
          <w:numId w:val="2"/>
        </w:numPr>
        <w:spacing w:after="60"/>
      </w:pPr>
      <w:r>
        <w:rPr>
          <w:rFonts w:ascii="Arial" w:cs="Arial" w:eastAsia="Arial" w:hAnsi="Arial"/>
          <w:sz w:val="22"/>
          <w:szCs w:val="22"/>
        </w:rPr>
        <w:t xml:space="preserve">Ongoing_Charge: necesario para el cálculo de retorno neto real y para el modelo de coste de mantenimiento en P3</w:t>
      </w:r>
    </w:p>
    <w:p>
      <w:pPr>
        <w:spacing w:after="120"/>
      </w:pPr>
      <w:r>
        <w:t xml:space="preserve"/>
      </w:r>
    </w:p>
    <w:p>
      <w:pPr>
        <w:pStyle w:val="Heading3"/>
      </w:pPr>
      <w:r>
        <w:rPr>
          <w:rFonts w:ascii="Arial" w:cs="Arial" w:eastAsia="Arial" w:hAnsi="Arial"/>
          <w:b/>
          <w:bCs/>
          <w:color w:val="4472C4"/>
          <w:sz w:val="24"/>
          <w:szCs w:val="24"/>
        </w:rPr>
        <w:t xml:space="preserve">Atributos útiles para segmentación en P2</w:t>
      </w:r>
    </w:p>
    <w:p>
      <w:pPr>
        <w:pStyle w:val="ListParagraph"/>
        <w:numPr>
          <w:ilvl w:val="0"/>
          <w:numId w:val="2"/>
        </w:numPr>
        <w:spacing w:after="60"/>
      </w:pPr>
      <w:r>
        <w:rPr>
          <w:rFonts w:ascii="Arial" w:cs="Arial" w:eastAsia="Arial" w:hAnsi="Arial"/>
          <w:sz w:val="22"/>
          <w:szCs w:val="22"/>
        </w:rPr>
        <w:t xml:space="preserve">Geography: permite calcular métricas por región y detectar concentración geográfica</w:t>
      </w:r>
    </w:p>
    <w:p>
      <w:pPr>
        <w:pStyle w:val="ListParagraph"/>
        <w:numPr>
          <w:ilvl w:val="0"/>
          <w:numId w:val="2"/>
        </w:numPr>
        <w:spacing w:after="60"/>
      </w:pPr>
      <w:r>
        <w:rPr>
          <w:rFonts w:ascii="Arial" w:cs="Arial" w:eastAsia="Arial" w:hAnsi="Arial"/>
          <w:sz w:val="22"/>
          <w:szCs w:val="22"/>
        </w:rPr>
        <w:t xml:space="preserve">Is_ESG / Sfdr_Article: permite segregar el análisis de métricas entre universo ESG y convencional</w:t>
      </w:r>
    </w:p>
    <w:p>
      <w:pPr>
        <w:pStyle w:val="ListParagraph"/>
        <w:numPr>
          <w:ilvl w:val="0"/>
          <w:numId w:val="2"/>
        </w:numPr>
        <w:spacing w:after="60"/>
      </w:pPr>
      <w:r>
        <w:rPr>
          <w:rFonts w:ascii="Arial" w:cs="Arial" w:eastAsia="Arial" w:hAnsi="Arial"/>
          <w:sz w:val="22"/>
          <w:szCs w:val="22"/>
        </w:rPr>
        <w:t xml:space="preserve">Strategy (Activo/Pasivo): agrupa fondos para comparación par-a-par</w:t>
      </w:r>
    </w:p>
    <w:p>
      <w:pPr>
        <w:spacing w:after="120"/>
      </w:pPr>
      <w:r>
        <w:t xml:space="preserve"/>
      </w:r>
    </w:p>
    <w:p>
      <w:pPr>
        <w:pStyle w:val="Heading2"/>
      </w:pPr>
      <w:r>
        <w:rPr>
          <w:rFonts w:ascii="Arial" w:cs="Arial" w:eastAsia="Arial" w:hAnsi="Arial"/>
          <w:b/>
          <w:bCs/>
          <w:color w:val="2E5FA3"/>
          <w:sz w:val="26"/>
          <w:szCs w:val="26"/>
        </w:rPr>
        <w:t xml:space="preserve">4.3 Requerimientos de P1 para Proyecto 3 — Selección por Régimen</w:t>
      </w:r>
    </w:p>
    <w:p>
      <w:pPr>
        <w:spacing w:after="80"/>
      </w:pPr>
      <w:r>
        <w:rPr>
          <w:rFonts w:ascii="Arial" w:cs="Arial" w:eastAsia="Arial" w:hAnsi="Arial"/>
          <w:sz w:val="22"/>
          <w:szCs w:val="22"/>
        </w:rPr>
        <w:t xml:space="preserve">El modelo de cartera basado en régimen macroeconómico requiere que cada fondo tenga una caracterización estructural completa. Los atributos de P1 se usan en tres momentos del proceso de selección:</w:t>
      </w:r>
    </w:p>
    <w:p>
      <w:pPr>
        <w:spacing w:after="120"/>
      </w:pPr>
      <w:r>
        <w:t xml:space="preserve"/>
      </w:r>
    </w:p>
    <w:p>
      <w:pPr>
        <w:pStyle w:val="Heading3"/>
      </w:pPr>
      <w:r>
        <w:rPr>
          <w:rFonts w:ascii="Arial" w:cs="Arial" w:eastAsia="Arial" w:hAnsi="Arial"/>
          <w:b/>
          <w:bCs/>
          <w:color w:val="4472C4"/>
          <w:sz w:val="24"/>
          <w:szCs w:val="24"/>
        </w:rPr>
        <w:t xml:space="preserve">Fase 1 — Filtros duros (requieren 100% de cobertura)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500"/>
        <w:gridCol w:w="2860"/>
      </w:tblGrid>
      <w:tr>
        <w:trPr>
          <w:tblHeader/>
        </w:trPr>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Atributo P1</w:t>
            </w:r>
          </w:p>
        </w:tc>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Uso en P3</w:t>
            </w:r>
          </w:p>
        </w:tc>
        <w:tc>
          <w:tcPr>
            <w:tcW w:type="dxa" w:w="1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Cobertura actual</w:t>
            </w:r>
          </w:p>
        </w:tc>
        <w:tc>
          <w:tcPr>
            <w:tcW w:type="dxa" w:w="28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Riesgo</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Fund_Nature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Define el bloque funcional (defensivo/equilibrado/dinámico)</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98,8%</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Bajo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Profile / SRRI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Filtro de riesgo máximo tolerable por inversor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66,2%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ALTO — 1.082 fondos sin SRRI</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Recommended_Holding_Period</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Compatibilidad horizonte temporal inversor</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75,1%</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Medio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Exit_Fee_Pct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Coste de rotación en rebalanceo mensual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Medio-Alto</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Leverage_Used</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Exclusión de fondos apalancados en cartera defensiva</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8,4%</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Crítico — cobertura insuficiente</w:t>
            </w:r>
          </w:p>
        </w:tc>
      </w:tr>
    </w:tbl>
    <w:p>
      <w:pPr>
        <w:spacing w:after="120"/>
      </w:pPr>
      <w:r>
        <w:t xml:space="preserve"/>
      </w:r>
    </w:p>
    <w:p>
      <w:pPr>
        <w:pStyle w:val="Heading3"/>
      </w:pPr>
      <w:r>
        <w:rPr>
          <w:rFonts w:ascii="Arial" w:cs="Arial" w:eastAsia="Arial" w:hAnsi="Arial"/>
          <w:b/>
          <w:bCs/>
          <w:color w:val="4472C4"/>
          <w:sz w:val="24"/>
          <w:szCs w:val="24"/>
        </w:rPr>
        <w:t xml:space="preserve">Fase 2 — Scoring compuesto por bloque (requieren alta cobertura)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16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Atributo P1</w:t>
            </w:r>
          </w:p>
        </w:tc>
        <w:tc>
          <w:tcPr>
            <w:tcW w:type="dxa" w:w="37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Uso en Scoring P3</w:t>
            </w:r>
          </w:p>
        </w:tc>
        <w:tc>
          <w:tcPr>
            <w:tcW w:type="dxa" w:w="3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Cobertura actual</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Ongoing_Charge (TER)</w:t>
            </w:r>
          </w:p>
        </w:tc>
        <w:tc>
          <w:tcPr>
            <w:tcW w:type="dxa" w:w="3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Penalización por coste (factor en scoring)</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73,7%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Strategy (Activo/Pasivo)</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Bonus por gestión activa en régimen tendencial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82,7%</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Is_ESG</w:t>
            </w:r>
          </w:p>
        </w:tc>
        <w:tc>
          <w:tcPr>
            <w:tcW w:type="dxa" w:w="3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Bonus/preferencia ESG si el inversor lo requiere</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62,3%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Geography</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 de concentración geográfica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86,6%</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Sfdr_Article</w:t>
            </w:r>
          </w:p>
        </w:tc>
        <w:tc>
          <w:tcPr>
            <w:tcW w:type="dxa" w:w="3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Filtro de sostenibilidad si aplica mandato</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60,2%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Benchmark_Type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Clasifica si el fondo compite contra índice o absoluto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54,3%</w:t>
            </w:r>
          </w:p>
        </w:tc>
      </w:tr>
    </w:tbl>
    <w:p>
      <w:pPr>
        <w:spacing w:after="120"/>
      </w:pPr>
      <w:r>
        <w:t xml:space="preserve"/>
      </w:r>
    </w:p>
    <w:p>
      <w:pPr>
        <w:pStyle w:val="Heading3"/>
      </w:pPr>
      <w:r>
        <w:rPr>
          <w:rFonts w:ascii="Arial" w:cs="Arial" w:eastAsia="Arial" w:hAnsi="Arial"/>
          <w:b/>
          <w:bCs/>
          <w:color w:val="4472C4"/>
          <w:sz w:val="24"/>
          <w:szCs w:val="24"/>
        </w:rPr>
        <w:t xml:space="preserve">Fase 3 — Selección específica de fondo (requieren métricas de P2)</w:t>
      </w:r>
    </w:p>
    <w:p>
      <w:pPr>
        <w:spacing w:after="80"/>
      </w:pPr>
      <w:r>
        <w:rPr>
          <w:rFonts w:ascii="Arial" w:cs="Arial" w:eastAsia="Arial" w:hAnsi="Arial"/>
          <w:sz w:val="22"/>
          <w:szCs w:val="22"/>
        </w:rPr>
        <w:t xml:space="preserve">En esta fase los atributos de P1 actúan como filtros pre-scoring y los indicadores de P2 (drawdown, Sharpe, consistencia) realizan la selección final. P1 garantiza que solo los fondos con tipología correcta para el régimen activo entran en la comparación.</w:t>
      </w:r>
    </w:p>
    <w:p>
      <w:pPr>
        <w:spacing w:after="120"/>
      </w:pPr>
      <w:r>
        <w:t xml:space="preserve"/>
      </w:r>
    </w:p>
    <w:p>
      <w:pPr>
        <w:pStyle w:val="Heading2"/>
      </w:pPr>
      <w:r>
        <w:rPr>
          <w:rFonts w:ascii="Arial" w:cs="Arial" w:eastAsia="Arial" w:hAnsi="Arial"/>
          <w:b/>
          <w:bCs/>
          <w:color w:val="2E5FA3"/>
          <w:sz w:val="26"/>
          <w:szCs w:val="26"/>
        </w:rPr>
        <w:t xml:space="preserve">4.4 Modelo de cartera por bloques funcionales y régimen</w:t>
      </w:r>
    </w:p>
    <w:p>
      <w:pPr>
        <w:spacing w:after="80"/>
      </w:pPr>
      <w:r>
        <w:rPr>
          <w:rFonts w:ascii="Arial" w:cs="Arial" w:eastAsia="Arial" w:hAnsi="Arial"/>
          <w:sz w:val="22"/>
          <w:szCs w:val="22"/>
        </w:rPr>
        <w:t xml:space="preserve">La cartera se construye sobre cuatro regímenes macroeconómicos identificados por la evolución de los indicadores de P2 (inflación, M2 global, tipos, spreads, VIX):</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3360"/>
      </w:tblGrid>
      <w:tr>
        <w:trPr>
          <w:tblHeader/>
        </w:trPr>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Régimen</w:t>
            </w:r>
          </w:p>
        </w:tc>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Señales</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Bloques activos</w:t>
            </w:r>
          </w:p>
        </w:tc>
        <w:tc>
          <w:tcPr>
            <w:tcW w:type="dxa" w:w="3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Naturalezas prioritarias</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Expansión / Crecimiento</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PIB↑ Inflación moderada Tipos estables M2↑</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Dinámico + Equilibrado</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RV Global, RV Emergentes, Mixtos Dinámicos, RF Flexible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Estanflación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PIB plano Inflación alta Tipos en alza M2↓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Defensivo + Inflación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Monetarios, RF Corto, RV Materias Primas, Alternativos</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Recesión / Estrés</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PIB↓ VIX alto Spreads amplios Tipos bajando</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Máximo defensivo</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Monetarios, RF Corto Gobierno, Oro (Alt.), liquidez</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Desinflación / Recovery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PIB bottom Inflación bajando M2 recuperando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Rotación gradual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RF Flexible, Mixtos Moderados, RV Quality</w:t>
            </w:r>
          </w:p>
        </w:tc>
      </w:tr>
    </w:tbl>
    <w:p>
      <w:pPr>
        <w:spacing w:after="120"/>
      </w:pPr>
      <w:r>
        <w:t xml:space="preserve"/>
      </w:r>
    </w:p>
    <w:p>
      <w:pPr>
        <w:spacing w:after="80"/>
      </w:pPr>
      <w:r>
        <w:rPr>
          <w:rFonts w:ascii="Arial" w:cs="Arial" w:eastAsia="Arial" w:hAnsi="Arial"/>
          <w:sz w:val="22"/>
          <w:szCs w:val="22"/>
        </w:rPr>
        <w:t xml:space="preserve">La función de P1 en este modelo es garantizar que la etiqueta Fund_Nature sea fiable para enrutar cada fondo al bloque correcto. Un error en la clasificación de naturaleza (p.ej. un fondo de RF_Flexible clasificado como Alternativo) distorsiona la asignación del régimen.</w:t>
      </w:r>
    </w:p>
    <w:p>
      <w:pPr>
        <w:spacing w:after="120"/>
      </w:pPr>
      <w:r>
        <w:t xml:space="preserve"/>
      </w:r>
    </w:p>
    <w:p>
      <w:pPr>
        <w:pStyle w:val="Heading2"/>
      </w:pPr>
      <w:r>
        <w:rPr>
          <w:rFonts w:ascii="Arial" w:cs="Arial" w:eastAsia="Arial" w:hAnsi="Arial"/>
          <w:b/>
          <w:bCs/>
          <w:color w:val="2E5FA3"/>
          <w:sz w:val="26"/>
          <w:szCs w:val="26"/>
        </w:rPr>
        <w:t xml:space="preserve">4.5 Implicaciones de los fondos en Restantes para P2/P3</w:t>
      </w:r>
    </w:p>
    <w:p>
      <w:pPr>
        <w:spacing w:after="80"/>
      </w:pPr>
      <w:r>
        <w:rPr>
          <w:rFonts w:ascii="Arial" w:cs="Arial" w:eastAsia="Arial" w:hAnsi="Arial"/>
          <w:sz w:val="22"/>
          <w:szCs w:val="22"/>
        </w:rPr>
        <w:t xml:space="preserve">Los 39 fondos en Restantes (1,2% del universo) presentan las siguientes implicaciones:</w:t>
      </w:r>
    </w:p>
    <w:p>
      <w:pPr>
        <w:spacing w:after="120"/>
      </w:pPr>
      <w:r>
        <w:t xml:space="preserve"/>
      </w:r>
    </w:p>
    <w:p>
      <w:pPr>
        <w:pStyle w:val="ListParagraph"/>
        <w:numPr>
          <w:ilvl w:val="0"/>
          <w:numId w:val="2"/>
        </w:numPr>
        <w:spacing w:after="60"/>
      </w:pPr>
      <w:r>
        <w:rPr>
          <w:rFonts w:ascii="Arial" w:cs="Arial" w:eastAsia="Arial" w:hAnsi="Arial"/>
          <w:sz w:val="22"/>
          <w:szCs w:val="22"/>
        </w:rPr>
        <w:t xml:space="preserve">Los 8 DB AUTOCALLABLE quedan excluidos del universo de selección de P3. Son productos estructurados con perfil de riesgo específico (SRRI=5, barrera de capital) que requieren tratamiento diferenciado. Recomendación: mantener en Restantes y excluirlos del pipeline de P2/P3 hasta diseñar un bloque específico para estructurados.</w:t>
      </w:r>
    </w:p>
    <w:p>
      <w:pPr>
        <w:pStyle w:val="ListParagraph"/>
        <w:numPr>
          <w:ilvl w:val="0"/>
          <w:numId w:val="2"/>
        </w:numPr>
        <w:spacing w:after="60"/>
      </w:pPr>
      <w:r>
        <w:rPr>
          <w:rFonts w:ascii="Arial" w:cs="Arial" w:eastAsia="Arial" w:hAnsi="Arial"/>
          <w:sz w:val="22"/>
          <w:szCs w:val="22"/>
        </w:rPr>
        <w:t xml:space="preserve">Los 12 fondos JPMorgan irrecuperables se excluyen temporalmente de P2. Cuando el pre-procesador OCR esté disponible, se podrán integrar sin necesidad de re-descargar los KIID.</w:t>
      </w:r>
    </w:p>
    <w:p>
      <w:pPr>
        <w:pStyle w:val="ListParagraph"/>
        <w:numPr>
          <w:ilvl w:val="0"/>
          <w:numId w:val="2"/>
        </w:numPr>
        <w:spacing w:after="60"/>
      </w:pPr>
      <w:r>
        <w:rPr>
          <w:rFonts w:ascii="Arial" w:cs="Arial" w:eastAsia="Arial" w:hAnsi="Arial"/>
          <w:sz w:val="22"/>
          <w:szCs w:val="22"/>
        </w:rPr>
        <w:t xml:space="preserve">Los 19 fondos parcialmente recuperables (Fidelity dividend, MFS, Vanguard, Janus) permanecen en un estado de Data_Quality_Flag=MISSING que los hace no elegibles para el scoring de P3 hasta que se completen sus atributos.</w:t>
      </w:r>
    </w:p>
    <w:p>
      <w:pPr>
        <w:spacing w:after="120"/>
      </w:pPr>
      <w:r>
        <w:t xml:space="preserve"/>
      </w:r>
    </w:p>
    <w:p>
      <w:pPr>
        <w:spacing w:after="0"/>
      </w:pPr>
      <w:r>
        <w:br w:type="page"/>
      </w:r>
    </w:p>
    <w:p>
      <w:pPr>
        <w:pStyle w:val="Heading1"/>
      </w:pPr>
      <w:r>
        <w:rPr>
          <w:rFonts w:ascii="Arial" w:cs="Arial" w:eastAsia="Arial" w:hAnsi="Arial"/>
          <w:b/>
          <w:bCs/>
          <w:sz w:val="32"/>
          <w:szCs w:val="32"/>
        </w:rPr>
        <w:t xml:space="preserve">5. HOJA DE RUTA Y PRIORIDADES</w:t>
      </w:r>
    </w:p>
    <w:p>
      <w:pPr>
        <w:pBdr>
          <w:bottom w:val="single" w:color="2E5FA3" w:sz="6" w:space="1"/>
        </w:pBdr>
        <w:spacing w:after="200"/>
      </w:pPr>
    </w:p>
    <w:p>
      <w:pPr>
        <w:pStyle w:val="Heading2"/>
      </w:pPr>
      <w:r>
        <w:rPr>
          <w:rFonts w:ascii="Arial" w:cs="Arial" w:eastAsia="Arial" w:hAnsi="Arial"/>
          <w:b/>
          <w:bCs/>
          <w:color w:val="2E5FA3"/>
          <w:sz w:val="26"/>
          <w:szCs w:val="26"/>
        </w:rPr>
        <w:t xml:space="preserve">5.1 Próximas mejoras en P1 (escalables)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800"/>
        <w:gridCol w:w="3360"/>
      </w:tblGrid>
      <w:tr>
        <w:trPr>
          <w:tblHeader/>
        </w:trPr>
        <w:tc>
          <w:tcPr>
            <w:tcW w:type="dxa" w:w="7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c>
          <w:tcPr>
            <w:tcW w:type="dxa" w:w="3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Mejora</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Impacto estimado</w:t>
            </w:r>
          </w:p>
        </w:tc>
        <w:tc>
          <w:tcPr>
            <w:tcW w:type="dxa" w:w="3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Complejidad</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P1</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SRRI como árbitro final en detect_nature_from_kiid (SRRI≥5→RV, SRRI=2→RF_Corto, SRRI=3+no equity→RF_pending)</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~8 fondos recuperados</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Baja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Señal 'dividend/dividendo' en has_equity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fondos Fidelity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Baja</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P1</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PASSIVE + 'index/índice' en texto → RV</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 fondos Vanguard</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Baja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Corrección inconsistencias fund_family (income/value/safety)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Calidad tipológica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P3</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Resolver MFS EME MKT DEBT RF_Corto vs RF_Flexible</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FAM_001794</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Baja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Pre-procesador OCR para texto JPMorgan fusionado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fondos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r>
    </w:tbl>
    <w:p>
      <w:pPr>
        <w:spacing w:after="120"/>
      </w:pPr>
      <w:r>
        <w:t xml:space="preserve"/>
      </w:r>
    </w:p>
    <w:p>
      <w:pPr>
        <w:pStyle w:val="Heading2"/>
      </w:pPr>
      <w:r>
        <w:rPr>
          <w:rFonts w:ascii="Arial" w:cs="Arial" w:eastAsia="Arial" w:hAnsi="Arial"/>
          <w:b/>
          <w:bCs/>
          <w:color w:val="2E5FA3"/>
          <w:sz w:val="26"/>
          <w:szCs w:val="26"/>
        </w:rPr>
        <w:t xml:space="preserve">5.2 Requerimientos de datos para arranque de P2</w:t>
      </w:r>
    </w:p>
    <w:p>
      <w:pPr>
        <w:spacing w:after="80"/>
      </w:pPr>
      <w:r>
        <w:rPr>
          <w:rFonts w:ascii="Arial" w:cs="Arial" w:eastAsia="Arial" w:hAnsi="Arial"/>
          <w:sz w:val="22"/>
          <w:szCs w:val="22"/>
        </w:rPr>
        <w:t xml:space="preserve">P2 puede arrancar con el estado actual del modelo. Las siguientes condiciones están cumplidas:</w:t>
      </w:r>
    </w:p>
    <w:p>
      <w:pPr>
        <w:spacing w:after="120"/>
      </w:pPr>
      <w:r>
        <w:t xml:space="preserve"/>
      </w:r>
    </w:p>
    <w:p>
      <w:pPr>
        <w:pStyle w:val="ListParagraph"/>
        <w:numPr>
          <w:ilvl w:val="0"/>
          <w:numId w:val="2"/>
        </w:numPr>
        <w:spacing w:after="60"/>
      </w:pPr>
      <w:r>
        <w:rPr>
          <w:rFonts w:ascii="Arial" w:cs="Arial" w:eastAsia="Arial" w:hAnsi="Arial"/>
          <w:sz w:val="22"/>
          <w:szCs w:val="22"/>
        </w:rPr>
        <w:t xml:space="preserve">Fund_Nature clasificado al 98,8% — suficiente para segmentación de universo</w:t>
      </w:r>
    </w:p>
    <w:p>
      <w:pPr>
        <w:pStyle w:val="ListParagraph"/>
        <w:numPr>
          <w:ilvl w:val="0"/>
          <w:numId w:val="2"/>
        </w:numPr>
        <w:spacing w:after="60"/>
      </w:pPr>
      <w:r>
        <w:rPr>
          <w:rFonts w:ascii="Arial" w:cs="Arial" w:eastAsia="Arial" w:hAnsi="Arial"/>
          <w:sz w:val="22"/>
          <w:szCs w:val="22"/>
        </w:rPr>
        <w:t xml:space="preserve">Fund_Currency al 98,2% — suficiente para deflactación</w:t>
      </w:r>
    </w:p>
    <w:p>
      <w:pPr>
        <w:pStyle w:val="ListParagraph"/>
        <w:numPr>
          <w:ilvl w:val="0"/>
          <w:numId w:val="2"/>
        </w:numPr>
        <w:spacing w:after="60"/>
      </w:pPr>
      <w:r>
        <w:rPr>
          <w:rFonts w:ascii="Arial" w:cs="Arial" w:eastAsia="Arial" w:hAnsi="Arial"/>
          <w:sz w:val="22"/>
          <w:szCs w:val="22"/>
        </w:rPr>
        <w:t xml:space="preserve">Profile al 99% — suficiente para segmentación por perfil de riesgo</w:t>
      </w:r>
    </w:p>
    <w:p>
      <w:pPr>
        <w:pStyle w:val="ListParagraph"/>
        <w:numPr>
          <w:ilvl w:val="0"/>
          <w:numId w:val="2"/>
        </w:numPr>
        <w:spacing w:after="60"/>
      </w:pPr>
      <w:r>
        <w:rPr>
          <w:rFonts w:ascii="Arial" w:cs="Arial" w:eastAsia="Arial" w:hAnsi="Arial"/>
          <w:sz w:val="22"/>
          <w:szCs w:val="22"/>
        </w:rPr>
        <w:t xml:space="preserve">SRRI al 66,2% — aceptable para filtros, con caveat documentado</w:t>
      </w:r>
    </w:p>
    <w:p>
      <w:pPr>
        <w:spacing w:after="120"/>
      </w:pPr>
      <w:r>
        <w:t xml:space="preserve"/>
      </w:r>
    </w:p>
    <w:p>
      <w:pPr>
        <w:spacing w:after="80"/>
      </w:pPr>
      <w:r>
        <w:rPr>
          <w:rFonts w:ascii="Arial" w:cs="Arial" w:eastAsia="Arial" w:hAnsi="Arial"/>
          <w:sz w:val="22"/>
          <w:szCs w:val="22"/>
        </w:rPr>
        <w:t xml:space="preserve">Las métricas de P2 que dependen de Benchmark_Declared (alfa, tracking error, ratio de información) solo estarán disponibles para el 54,3% del universo. Se recomienda calcularlas con campo NULL cuando no hay benchmark, sin bloquear el pipeline.</w:t>
      </w:r>
    </w:p>
    <w:p>
      <w:pPr>
        <w:spacing w:after="120"/>
      </w:pPr>
      <w:r>
        <w:t xml:space="preserve"/>
      </w:r>
    </w:p>
    <w:p>
      <w:pPr>
        <w:pStyle w:val="Heading2"/>
      </w:pPr>
      <w:r>
        <w:rPr>
          <w:rFonts w:ascii="Arial" w:cs="Arial" w:eastAsia="Arial" w:hAnsi="Arial"/>
          <w:b/>
          <w:bCs/>
          <w:color w:val="2E5FA3"/>
          <w:sz w:val="26"/>
          <w:szCs w:val="26"/>
        </w:rPr>
        <w:t xml:space="preserve">5.3 Estado de preparación para P3</w:t>
      </w:r>
    </w:p>
    <w:p>
      <w:pPr>
        <w:spacing w:after="80"/>
      </w:pPr>
      <w:r>
        <w:rPr>
          <w:rFonts w:ascii="Arial" w:cs="Arial" w:eastAsia="Arial" w:hAnsi="Arial"/>
          <w:sz w:val="22"/>
          <w:szCs w:val="22"/>
        </w:rPr>
        <w:t xml:space="preserve">P3 puede iniciar el diseño del modelo de scoring. Las condiciones de arranque real son:</w:t>
      </w:r>
    </w:p>
    <w:p>
      <w:pPr>
        <w:spacing w:after="120"/>
      </w:pPr>
      <w:r>
        <w:t xml:space="preserve"/>
      </w:r>
    </w:p>
    <w:p>
      <w:pPr>
        <w:pStyle w:val="ListParagraph"/>
        <w:numPr>
          <w:ilvl w:val="0"/>
          <w:numId w:val="3"/>
        </w:numPr>
        <w:spacing w:after="60"/>
      </w:pPr>
      <w:r>
        <w:rPr>
          <w:rFonts w:ascii="Arial" w:cs="Arial" w:eastAsia="Arial" w:hAnsi="Arial"/>
          <w:sz w:val="22"/>
          <w:szCs w:val="22"/>
        </w:rPr>
        <w:t xml:space="preserve">Disponibilidad de series NAV mensuales (P2, prerequisito)</w:t>
      </w:r>
    </w:p>
    <w:p>
      <w:pPr>
        <w:pStyle w:val="ListParagraph"/>
        <w:numPr>
          <w:ilvl w:val="0"/>
          <w:numId w:val="3"/>
        </w:numPr>
        <w:spacing w:after="60"/>
      </w:pPr>
      <w:r>
        <w:rPr>
          <w:rFonts w:ascii="Arial" w:cs="Arial" w:eastAsia="Arial" w:hAnsi="Arial"/>
          <w:sz w:val="22"/>
          <w:szCs w:val="22"/>
        </w:rPr>
        <w:t xml:space="preserve">Cobertura SRRI ≥ 80% (actualmente 66,2% — requiere mejoras de extracción)</w:t>
      </w:r>
    </w:p>
    <w:p>
      <w:pPr>
        <w:pStyle w:val="ListParagraph"/>
        <w:numPr>
          <w:ilvl w:val="0"/>
          <w:numId w:val="3"/>
        </w:numPr>
        <w:spacing w:after="60"/>
      </w:pPr>
      <w:r>
        <w:rPr>
          <w:rFonts w:ascii="Arial" w:cs="Arial" w:eastAsia="Arial" w:hAnsi="Arial"/>
          <w:sz w:val="22"/>
          <w:szCs w:val="22"/>
        </w:rPr>
        <w:t xml:space="preserve">Cobertura Benchmark ≥ 70% (actualmente 54,3% — requiere mejoras de parsing)</w:t>
      </w:r>
    </w:p>
    <w:p>
      <w:pPr>
        <w:pStyle w:val="ListParagraph"/>
        <w:numPr>
          <w:ilvl w:val="0"/>
          <w:numId w:val="3"/>
        </w:numPr>
        <w:spacing w:after="60"/>
      </w:pPr>
      <w:r>
        <w:rPr>
          <w:rFonts w:ascii="Arial" w:cs="Arial" w:eastAsia="Arial" w:hAnsi="Arial"/>
          <w:sz w:val="22"/>
          <w:szCs w:val="22"/>
        </w:rPr>
        <w:t xml:space="preserve">Inconsistencias fund_family ≤ 5 familias (actualmente 10 — requiere 5 correcciones)</w:t>
      </w:r>
    </w:p>
    <w:p>
      <w:pPr>
        <w:spacing w:after="120"/>
      </w:pPr>
      <w:r>
        <w:t xml:space="preserve"/>
      </w:r>
    </w:p>
    <w:p>
      <w:pPr>
        <w:spacing w:after="80"/>
      </w:pPr>
      <w:r>
        <w:rPr>
          <w:rFonts w:ascii="Arial" w:cs="Arial" w:eastAsia="Arial" w:hAnsi="Arial"/>
          <w:sz w:val="22"/>
          <w:szCs w:val="22"/>
        </w:rPr>
        <w:t xml:space="preserve">Recomendación: proceder con P2 de forma paralela a las mejoras de P1 descritas. No esperar a que P1 esté al 100% — el modelo de cartera puede operar con los ~3.165 fondos correctamente clasificados excluyendo los 39 Restantes.</w:t>
      </w:r>
    </w:p>
    <w:p>
      <w:pPr>
        <w:spacing w:after="120"/>
      </w:pPr>
      <w:r>
        <w:t xml:space="preserve"/>
      </w:r>
    </w:p>
    <w:p>
      <w:pPr>
        <w:pBdr>
          <w:bottom w:val="single" w:color="2E5FA3" w:sz="6" w:space="1"/>
        </w:pBdr>
        <w:spacing w:after="200"/>
      </w:pPr>
    </w:p>
    <w:p>
      <w:pPr>
        <w:jc w:val="center"/>
      </w:pPr>
      <w:r>
        <w:rPr>
          <w:rFonts w:ascii="Arial" w:cs="Arial" w:eastAsia="Arial" w:hAnsi="Arial"/>
          <w:i/>
          <w:iCs/>
          <w:color w:val="999999"/>
          <w:sz w:val="20"/>
          <w:szCs w:val="20"/>
        </w:rPr>
        <w:t xml:space="preserve">Fin del documento — Sistema de Análisis de Fondos de Inversión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3A6B"/>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FA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2026-03-28T19:12:04.768Z</dcterms:created>
  <dcterms:modified xsi:type="dcterms:W3CDTF">2026-03-28T19:12:04.769Z</dcterms:modified>
</cp:coreProperties>
</file>

<file path=docProps/custom.xml><?xml version="1.0" encoding="utf-8"?>
<Properties xmlns="http://schemas.openxmlformats.org/officeDocument/2006/custom-properties" xmlns:vt="http://schemas.openxmlformats.org/officeDocument/2006/docPropsVTypes"/>
</file>