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jc w:val="center"/>
      </w:pPr>
      <w:r>
        <w:rPr>
          <w:rFonts w:ascii="Arial" w:cs="Arial" w:eastAsia="Arial" w:hAnsi="Arial"/>
          <w:b/>
          <w:bCs/>
          <w:color w:val="1A3A6B"/>
          <w:sz w:val="44"/>
          <w:szCs w:val="44"/>
        </w:rPr>
        <w:t xml:space="preserve">INFORME DE ESTADO — PROYECTO 1</w:t>
      </w:r>
    </w:p>
    <w:p>
      <w:pPr>
        <w:jc w:val="center"/>
      </w:pPr>
      <w:r>
        <w:rPr>
          <w:rFonts w:ascii="Arial" w:cs="Arial" w:eastAsia="Arial" w:hAnsi="Arial"/>
          <w:color w:val="4472C4"/>
          <w:sz w:val="26"/>
          <w:szCs w:val="26"/>
        </w:rPr>
        <w:t xml:space="preserve">Sistema de Ingesta, Parsing y Clasificación de Fondos</w:t>
      </w:r>
    </w:p>
    <w:p>
      <w:pPr>
        <w:spacing w:after="100"/>
      </w:pPr>
      <w:r>
        <w:t xml:space="preserve"/>
      </w:r>
    </w:p>
    <w:p>
      <w:pPr>
        <w:jc w:val="center"/>
      </w:pPr>
      <w:r>
        <w:rPr>
          <w:rFonts w:ascii="Arial" w:cs="Arial" w:eastAsia="Arial" w:hAnsi="Arial"/>
          <w:color w:val="888888"/>
          <w:sz w:val="21"/>
          <w:szCs w:val="21"/>
        </w:rPr>
        <w:t xml:space="preserve">Castro Urdiales · 29 de marzo de 2026</w:t>
      </w:r>
    </w:p>
    <w:p>
      <w:pPr>
        <w:spacing w:after="0"/>
      </w:pPr>
      <w:r>
        <w:br w:type="page"/>
      </w:r>
    </w:p>
    <w:p>
      <w:pPr>
        <w:pStyle w:val="Heading1"/>
      </w:pPr>
      <w:r>
        <w:rPr>
          <w:rFonts w:ascii="Arial" w:cs="Arial" w:eastAsia="Arial" w:hAnsi="Arial"/>
          <w:b/>
          <w:bCs/>
          <w:color w:val="1A3A6B"/>
          <w:sz w:val="34"/>
          <w:szCs w:val="34"/>
        </w:rPr>
        <w:t xml:space="preserve">1. RESUMEN EJECUTIVO</w:t>
      </w:r>
    </w:p>
    <w:p>
      <w:pPr>
        <w:pBdr>
          <w:bottom w:val="single" w:color="2E5FA3" w:sz="6" w:space="1"/>
        </w:pBdr>
        <w:spacing w:after="160"/>
      </w:pPr>
    </w:p>
    <w:p>
      <w:pPr>
        <w:spacing w:after="80"/>
      </w:pPr>
      <w:r>
        <w:rPr>
          <w:rFonts w:ascii="Arial" w:cs="Arial" w:eastAsia="Arial" w:hAnsi="Arial"/>
          <w:sz w:val="21"/>
          <w:szCs w:val="21"/>
        </w:rPr>
        <w:t xml:space="preserve">El ciclo de descubrimiento del 29 de marzo de 2026 representa la mejora cuantitativa más significativa del sistema desde su puesta en marcha. Los avances son transversales: clasificación de naturaleza, cobertura SRRI, validación cruzada visual/textual, y calidad general del modelo de datos.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600"/>
        <w:gridCol w:w="2760"/>
      </w:tblGrid>
      <w:tr>
        <w:trPr>
          <w:tblHeader/>
        </w:trPr>
        <w:tc>
          <w:tcPr>
            <w:tcW w:type="dxa" w:w="2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Indicador</w:t>
            </w:r>
          </w:p>
        </w:tc>
        <w:tc>
          <w:tcPr>
            <w:tcW w:type="dxa" w:w="1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28-03-2026</w:t>
            </w:r>
          </w:p>
        </w:tc>
        <w:tc>
          <w:tcPr>
            <w:tcW w:type="dxa" w:w="1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29-03-2026</w:t>
            </w:r>
          </w:p>
        </w:tc>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Variación</w:t>
            </w:r>
          </w:p>
        </w:tc>
        <w:tc>
          <w:tcPr>
            <w:tcW w:type="dxa" w:w="27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 Universo</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Restantes (sin clasificar)</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39</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18</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8B1A1A"/>
                <w:sz w:val="19"/>
                <w:szCs w:val="19"/>
              </w:rPr>
              <w:t xml:space="preserve">↓ 21 (−54%)</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0.6%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SRRI en fund_master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2.122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3.182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2E"/>
                <w:sz w:val="19"/>
                <w:szCs w:val="19"/>
              </w:rPr>
              <w:t xml:space="preserve">↑ 1.060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99.3%</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SRRI_Visual extraído</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0</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3.124</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A6B2E"/>
                <w:sz w:val="19"/>
                <w:szCs w:val="19"/>
              </w:rPr>
              <w:t xml:space="preserve">↑ 3.124</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97.5%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SRRI calidad MATCH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2.926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2E"/>
                <w:sz w:val="19"/>
                <w:szCs w:val="19"/>
              </w:rPr>
              <w:t xml:space="preserve">↑ 2.926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91.3%</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Data_Quality OK</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2.120</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3.129</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A6B2E"/>
                <w:sz w:val="19"/>
                <w:szCs w:val="19"/>
              </w:rPr>
              <w:t xml:space="preserve">↑ 1.009</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97.7%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Is_ESG =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1.996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2.030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2E"/>
                <w:sz w:val="19"/>
                <w:szCs w:val="19"/>
              </w:rPr>
              <w:t xml:space="preserve">↑ 34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63.4%</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Sfdr_Article informado</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1.929</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1.978</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A6B2E"/>
                <w:sz w:val="19"/>
                <w:szCs w:val="19"/>
              </w:rPr>
              <w:t xml:space="preserve">↑ 49</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61.7%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Benchmark_Declared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1.739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1.739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54.3%</w:t>
            </w:r>
          </w:p>
        </w:tc>
      </w:tr>
    </w:tbl>
    <w:p>
      <w:pPr>
        <w:spacing w:after="100"/>
      </w:pPr>
      <w:r>
        <w:t xml:space="preserve"/>
      </w:r>
    </w:p>
    <w:p>
      <w:pPr>
        <w:pStyle w:val="Heading1"/>
      </w:pPr>
      <w:r>
        <w:rPr>
          <w:rFonts w:ascii="Arial" w:cs="Arial" w:eastAsia="Arial" w:hAnsi="Arial"/>
          <w:b/>
          <w:bCs/>
          <w:color w:val="1A3A6B"/>
          <w:sz w:val="34"/>
          <w:szCs w:val="34"/>
        </w:rPr>
        <w:t xml:space="preserve">2. DISTRIBUCIÓN POR NATURALEZA</w:t>
      </w:r>
    </w:p>
    <w:p>
      <w:pPr>
        <w:pBdr>
          <w:bottom w:val="single" w:color="2E5FA3" w:sz="6" w:space="1"/>
        </w:pBdr>
        <w:spacing w:after="160"/>
      </w:pPr>
    </w:p>
    <w:p>
      <w:pPr>
        <w:spacing w:after="80"/>
      </w:pPr>
      <w:r>
        <w:rPr>
          <w:rFonts w:ascii="Arial" w:cs="Arial" w:eastAsia="Arial" w:hAnsi="Arial"/>
          <w:sz w:val="21"/>
          <w:szCs w:val="21"/>
        </w:rPr>
        <w:t xml:space="preserve">La distribución final del universo de 3.204 fondos ha experimentado movimientos significativos respecto al ciclo anterior, derivados de las mejoras semánticas en la clasificación: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500"/>
        <w:gridCol w:w="3260"/>
      </w:tblGrid>
      <w:tr>
        <w:trPr>
          <w:tblHeader/>
        </w:trPr>
        <w:tc>
          <w:tcPr>
            <w:tcW w:type="dxa" w:w="2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Naturaleza</w:t>
            </w:r>
          </w:p>
        </w:tc>
        <w:tc>
          <w:tcPr>
            <w:tcW w:type="dxa" w:w="1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28-03</w:t>
            </w:r>
          </w:p>
        </w:tc>
        <w:tc>
          <w:tcPr>
            <w:tcW w:type="dxa" w:w="1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29-03</w:t>
            </w:r>
          </w:p>
        </w:tc>
        <w:tc>
          <w:tcPr>
            <w:tcW w:type="dxa" w:w="1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Variación</w:t>
            </w:r>
          </w:p>
        </w:tc>
        <w:tc>
          <w:tcPr>
            <w:tcW w:type="dxa" w:w="32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 Universo</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Renta Variable</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1.522</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1.685</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A6B2E"/>
                <w:sz w:val="19"/>
                <w:szCs w:val="19"/>
              </w:rPr>
              <w:t xml:space="preserve">↑ 163</w:t>
            </w:r>
          </w:p>
        </w:tc>
        <w:tc>
          <w:tcPr>
            <w:tcW w:type="dxa" w:w="3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52.6%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Renta Fija Flexible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457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554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2E"/>
                <w:sz w:val="19"/>
                <w:szCs w:val="19"/>
              </w:rPr>
              <w:t xml:space="preserve">↑ 97</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17.3%</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Mixtos</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553</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461</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8B1A1A"/>
                <w:sz w:val="19"/>
                <w:szCs w:val="19"/>
              </w:rPr>
              <w:t xml:space="preserve">↓ 92</w:t>
            </w:r>
          </w:p>
        </w:tc>
        <w:tc>
          <w:tcPr>
            <w:tcW w:type="dxa" w:w="3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14.4%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Renta Fija Corto Plazo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458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323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1A1A"/>
                <w:sz w:val="19"/>
                <w:szCs w:val="19"/>
              </w:rPr>
              <w:t xml:space="preserve">↓ 135</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10.1%</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Monetario</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105</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97</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8B1A1A"/>
                <w:sz w:val="19"/>
                <w:szCs w:val="19"/>
              </w:rPr>
              <w:t xml:space="preserve">↓ 8</w:t>
            </w:r>
          </w:p>
        </w:tc>
        <w:tc>
          <w:tcPr>
            <w:tcW w:type="dxa" w:w="3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3.0%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Alternativo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70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66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1A1A"/>
                <w:sz w:val="19"/>
                <w:szCs w:val="19"/>
              </w:rPr>
              <w:t xml:space="preserve">↓ 4</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2.1%</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Restantes</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39</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18</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8B1A1A"/>
                <w:sz w:val="19"/>
                <w:szCs w:val="19"/>
              </w:rPr>
              <w:t xml:space="preserve">↓ 21</w:t>
            </w:r>
          </w:p>
        </w:tc>
        <w:tc>
          <w:tcPr>
            <w:tcW w:type="dxa" w:w="3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0.6%</w:t>
            </w:r>
          </w:p>
        </w:tc>
      </w:tr>
    </w:tbl>
    <w:p>
      <w:pPr>
        <w:spacing w:after="100"/>
      </w:pPr>
      <w:r>
        <w:t xml:space="preserve"/>
      </w:r>
    </w:p>
    <w:p>
      <w:pPr>
        <w:spacing w:after="80"/>
      </w:pPr>
      <w:r>
        <w:rPr>
          <w:rFonts w:ascii="Arial" w:cs="Arial" w:eastAsia="Arial" w:hAnsi="Arial"/>
          <w:b/>
          <w:bCs/>
          <w:sz w:val="21"/>
          <w:szCs w:val="21"/>
        </w:rPr>
        <w:t xml:space="preserve">Nota sobre variaciones en Mixtos y RF_Corto: </w:t>
      </w:r>
      <w:r>
        <w:rPr>
          <w:rFonts w:ascii="Arial" w:cs="Arial" w:eastAsia="Arial" w:hAnsi="Arial"/>
          <w:sz w:val="21"/>
          <w:szCs w:val="21"/>
        </w:rPr>
        <w:t xml:space="preserve">La corrección del falso positivo 'invierte al menos' en has_bonds (que clasificaba fondos de RV con menciones incidentales de deuda como Mixtos o RF_Corto) produjo una redistribución hacia las categorías correctas. El incremento en RF_Flexible (+97) refleja principalmente la reclasificación de fondos de deuda que estaban incorrectamente en RF_Corto.</w:t>
      </w:r>
    </w:p>
    <w:p>
      <w:pPr>
        <w:spacing w:after="100"/>
      </w:pPr>
      <w:r>
        <w:t xml:space="preserve"/>
      </w:r>
    </w:p>
    <w:p>
      <w:pPr>
        <w:spacing w:after="0"/>
      </w:pPr>
      <w:r>
        <w:br w:type="page"/>
      </w:r>
    </w:p>
    <w:p>
      <w:pPr>
        <w:pStyle w:val="Heading1"/>
      </w:pPr>
      <w:r>
        <w:rPr>
          <w:rFonts w:ascii="Arial" w:cs="Arial" w:eastAsia="Arial" w:hAnsi="Arial"/>
          <w:b/>
          <w:bCs/>
          <w:color w:val="1A3A6B"/>
          <w:sz w:val="34"/>
          <w:szCs w:val="34"/>
        </w:rPr>
        <w:t xml:space="preserve">3. COBERTURA Y CALIDAD SRRI</w:t>
      </w:r>
    </w:p>
    <w:p>
      <w:pPr>
        <w:pBdr>
          <w:bottom w:val="single" w:color="2E5FA3" w:sz="6" w:space="1"/>
        </w:pBdr>
        <w:spacing w:after="160"/>
      </w:pPr>
    </w:p>
    <w:p>
      <w:pPr>
        <w:pStyle w:val="Heading2"/>
      </w:pPr>
      <w:r>
        <w:rPr>
          <w:rFonts w:ascii="Arial" w:cs="Arial" w:eastAsia="Arial" w:hAnsi="Arial"/>
          <w:b/>
          <w:bCs/>
          <w:color w:val="2E5FA3"/>
          <w:sz w:val="26"/>
          <w:szCs w:val="26"/>
        </w:rPr>
        <w:t xml:space="preserve">3.1 Resultados globales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200"/>
        <w:gridCol w:w="496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Estado SRRI</w:t>
            </w:r>
          </w:p>
        </w:tc>
        <w:tc>
          <w:tcPr>
            <w:tcW w:type="dxa" w:w="1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Fondos</w:t>
            </w:r>
          </w:p>
        </w:tc>
        <w:tc>
          <w:tcPr>
            <w:tcW w:type="dxa" w:w="1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 Universo</w:t>
            </w:r>
          </w:p>
        </w:tc>
        <w:tc>
          <w:tcPr>
            <w:tcW w:type="dxa" w:w="4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Descripción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MATCH (High)</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2.926</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91.3%</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Visual = Textual — máxima fiabilidad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VISUAL_ONLY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138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Solo visual, sin texto SRRI en KID</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TEXT_ONLY</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65</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2.0%</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Solo textual, sin PDF visual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CONFLICT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1.7%</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Visual ≠ Textual — requiere revisión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NOT_AVAILABLE</w:t>
            </w:r>
          </w:p>
        </w:tc>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22</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0.7%</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Sin SRRI extraíble — KIID incompleto</w:t>
            </w:r>
          </w:p>
        </w:tc>
      </w:tr>
    </w:tbl>
    <w:p>
      <w:pPr>
        <w:spacing w:after="100"/>
      </w:pPr>
      <w:r>
        <w:t xml:space="preserve"/>
      </w:r>
    </w:p>
    <w:p>
      <w:pPr>
        <w:pStyle w:val="Heading2"/>
      </w:pPr>
      <w:r>
        <w:rPr>
          <w:rFonts w:ascii="Arial" w:cs="Arial" w:eastAsia="Arial" w:hAnsi="Arial"/>
          <w:b/>
          <w:bCs/>
          <w:color w:val="2E5FA3"/>
          <w:sz w:val="26"/>
          <w:szCs w:val="26"/>
        </w:rPr>
        <w:t xml:space="preserve">3.2 Fondos sin SRRI (22)</w:t>
      </w:r>
    </w:p>
    <w:p>
      <w:pPr>
        <w:spacing w:after="80"/>
      </w:pPr>
      <w:r>
        <w:rPr>
          <w:rFonts w:ascii="Arial" w:cs="Arial" w:eastAsia="Arial" w:hAnsi="Arial"/>
          <w:sz w:val="21"/>
          <w:szCs w:val="21"/>
        </w:rPr>
        <w:t xml:space="preserve">Los 22 fondos sin SRRI presentan dos causas diferenciadas: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3600"/>
        <w:gridCol w:w="3360"/>
      </w:tblGrid>
      <w:tr>
        <w:trPr>
          <w:tblHeader/>
        </w:trPr>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KIID_Status</w:t>
            </w:r>
          </w:p>
        </w:tc>
        <w:tc>
          <w:tcPr>
            <w:tcW w:type="dxa" w:w="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Fondos</w:t>
            </w:r>
          </w:p>
        </w:tc>
        <w:tc>
          <w:tcPr>
            <w:tcW w:type="dxa" w:w="3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Causa raíz</w:t>
            </w:r>
          </w:p>
        </w:tc>
        <w:tc>
          <w:tcPr>
            <w:tcW w:type="dxa" w:w="3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Acción</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OK (PDF procesado)</w:t>
            </w:r>
          </w:p>
        </w:tc>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13</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PDF re-descargado pero extractor visual retorna NULL — widget gráfico no detectable con srri_v5</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Diagnóstico del widget específico; potencial re-download con flag de formato diferente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CACHED (texto disponible)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Texto en BD sin patrón SRRI reconocible — formato KIID no cubierto por los 19 patrones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Análisis del texto raw para identificar nuevo patrón; SQL UPDATE directo si el SRRI es conocido</w:t>
            </w:r>
          </w:p>
        </w:tc>
      </w:tr>
    </w:tbl>
    <w:p>
      <w:pPr>
        <w:spacing w:after="100"/>
      </w:pPr>
      <w:r>
        <w:t xml:space="preserve"/>
      </w:r>
    </w:p>
    <w:p>
      <w:pPr>
        <w:spacing w:after="80"/>
      </w:pPr>
      <w:r>
        <w:rPr>
          <w:rFonts w:ascii="Arial" w:cs="Arial" w:eastAsia="Arial" w:hAnsi="Arial"/>
          <w:sz w:val="21"/>
          <w:szCs w:val="21"/>
        </w:rPr>
        <w:t xml:space="preserve">Los 22 fondos por gestora: Natixis (3), Deutsche (2), Amundi (3), BNP (1), Allianz (2), FlossBach (1), Pimco (1), Thread (1), Vontobel (2), JPMorgan (1), Robeco (1), Schroeder (1), DWS (1), Fidelity (2).</w:t>
      </w:r>
    </w:p>
    <w:p>
      <w:pPr>
        <w:spacing w:after="100"/>
      </w:pPr>
      <w:r>
        <w:t xml:space="preserve"/>
      </w:r>
    </w:p>
    <w:p>
      <w:pPr>
        <w:pStyle w:val="Heading2"/>
      </w:pPr>
      <w:r>
        <w:rPr>
          <w:rFonts w:ascii="Arial" w:cs="Arial" w:eastAsia="Arial" w:hAnsi="Arial"/>
          <w:b/>
          <w:bCs/>
          <w:color w:val="2E5FA3"/>
          <w:sz w:val="26"/>
          <w:szCs w:val="26"/>
        </w:rPr>
        <w:t xml:space="preserve">3.3 Conflictos SRRI visual vs textual (53)</w:t>
      </w:r>
    </w:p>
    <w:p>
      <w:pPr>
        <w:spacing w:after="80"/>
      </w:pPr>
      <w:r>
        <w:rPr>
          <w:rFonts w:ascii="Arial" w:cs="Arial" w:eastAsia="Arial" w:hAnsi="Arial"/>
          <w:sz w:val="21"/>
          <w:szCs w:val="21"/>
        </w:rPr>
        <w:t xml:space="preserve">53 fondos presentan discrepancia entre el SRRI extraído del gráfico del PDF y el declarado en el texto. El 85% de los conflictos tienen SRRI_Visual &gt; SRRI_Textual, lo que sugiere que el extractor visual tiende a sobreestimar el nivel de riesgo en determinados formatos de widget.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59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Patrón</w:t>
            </w:r>
          </w:p>
        </w:tc>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Fondos</w:t>
            </w:r>
          </w:p>
        </w:tc>
        <w:tc>
          <w:tcPr>
            <w:tcW w:type="dxa" w:w="5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Gestoras principales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Visual &gt; Textual (sobrestimación)</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45</w:t>
            </w:r>
          </w:p>
        </w:tc>
        <w:tc>
          <w:tcPr>
            <w:tcW w:type="dxa" w:w="5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Amundi (13), Rothschild (8), BNP (7), BlackRock (6)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Visual &lt; Textual (subestimación)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JPMorgan (6), varios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Diferencia = 1 nivel</w:t>
            </w:r>
          </w:p>
        </w:tc>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13</w:t>
            </w:r>
          </w:p>
        </w:tc>
        <w:tc>
          <w:tcPr>
            <w:tcW w:type="dxa" w:w="5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Potencialmente aceptable (límite de clase)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Diferencia &gt; 1 nivel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40</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Requieren revisión — discrepancia material</w:t>
            </w:r>
          </w:p>
        </w:tc>
      </w:tr>
    </w:tbl>
    <w:p>
      <w:pPr>
        <w:spacing w:after="100"/>
      </w:pPr>
      <w:r>
        <w:t xml:space="preserve"/>
      </w:r>
    </w:p>
    <w:p>
      <w:pPr>
        <w:spacing w:after="80"/>
      </w:pPr>
      <w:r>
        <w:rPr>
          <w:rFonts w:ascii="Arial" w:cs="Arial" w:eastAsia="Arial" w:hAnsi="Arial"/>
          <w:sz w:val="21"/>
          <w:szCs w:val="21"/>
        </w:rPr>
        <w:t xml:space="preserve">Acción recomendada: para CONFLICT con diferencia &gt; 1, revisar manualmente el PDF. En la mayoría de casos de Amundi, el extractor visual detecta el widget de la tabla de escenarios (que tiene colores similares al widget SRRI) en lugar del widget real.</w:t>
      </w:r>
    </w:p>
    <w:p>
      <w:pPr>
        <w:spacing w:after="100"/>
      </w:pPr>
      <w:r>
        <w:t xml:space="preserve"/>
      </w:r>
    </w:p>
    <w:p>
      <w:pPr>
        <w:spacing w:after="0"/>
      </w:pPr>
      <w:r>
        <w:br w:type="page"/>
      </w:r>
    </w:p>
    <w:p>
      <w:pPr>
        <w:pStyle w:val="Heading1"/>
      </w:pPr>
      <w:r>
        <w:rPr>
          <w:rFonts w:ascii="Arial" w:cs="Arial" w:eastAsia="Arial" w:hAnsi="Arial"/>
          <w:b/>
          <w:bCs/>
          <w:color w:val="1A3A6B"/>
          <w:sz w:val="34"/>
          <w:szCs w:val="34"/>
        </w:rPr>
        <w:t xml:space="preserve">4. ANÁLISIS FONDOS RESTANTES (18)</w:t>
      </w:r>
    </w:p>
    <w:p>
      <w:pPr>
        <w:pBdr>
          <w:bottom w:val="single" w:color="2E5FA3" w:sz="6" w:space="1"/>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800"/>
        <w:gridCol w:w="336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Grupo</w:t>
            </w:r>
          </w:p>
        </w:tc>
        <w:tc>
          <w:tcPr>
            <w:tcW w:type="dxa" w:w="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Fondos</w:t>
            </w:r>
          </w:p>
        </w:tc>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Situación</w:t>
            </w:r>
          </w:p>
        </w:tc>
        <w:tc>
          <w:tcPr>
            <w:tcW w:type="dxa" w:w="33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Plan de acción</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DB AUTOCALLABLE 1-8 (Waystone)</w:t>
            </w:r>
          </w:p>
        </w:tc>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8</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Estructurados correctamente en Restantes. Type=Estructurado, Subtype=Autocallable, SRRI=5.</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Mantener en Restantes. Excluir del pipeline P2/P3 hasta diseñar bloque para estructurados.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MFS Global Total Return (3 clases)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SRRI=3. Texto confirma 60% RV + 40% deuda → Mixtos. El clasificador no los alcanza por ausencia de señal dominante suficiente.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SQL UPDATE directo: Fund_Nature='Mixtos'. Añadir señal 'total return' + 'objetivo del fondo es la rentabilidad total' → Mixtos en classify_utils.</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VGD EU ZON INF LINK IND EUR AC</w:t>
            </w:r>
          </w:p>
        </w:tc>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1</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Vanguard Eurozone Inflation-Linked Index. SRRI=3, PASSIVE. Texto menciona índice de renta fija ligada a inflación.</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Señal semántica: 'inflation-linked bond' + 'linked index' → RF_Flexible. Fix escalable.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VARIOP.MIV GL MEDTCH (Vontobel)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SRRI=4. Medical technology equity fund. Texto no tiene señal clara de equity.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Señal 'medtech', 'medical technology', 'healthcare equity' en eq_dominant.</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R-CO CONV CREDI EURO (Rothschild)</w:t>
            </w:r>
          </w:p>
        </w:tc>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1</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SRRI=2. PDF garbled (estatutos, no KIID). Clasificable como RF_Flexible por nombre y SRRI.</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Re-descarga PDF: KIID_Status=FORCE_REFRESH. Si persiste: SQL UPDATE RF_Flexible.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DWS GLBL INFRASTR (Deutsche)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PDF de estatutos en inglés — no es un KIID/DDF. SRRI=NULL.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WRONG_DOC: marcar y excluir. Re-buscar URL del KIID correcto.</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CARMIGNAC POR TC SOL</w:t>
            </w:r>
          </w:p>
        </w:tc>
        <w:tc>
          <w:tcPr>
            <w:tcW w:type="dxa" w:w="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1</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SRRI=5. Benchmark MSCI AC World. Ya tiene señal equity. El bloque RESTANTES no activa la Capa 3.</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Verificar que la Capa 3 (benchmark → RV) está activa en restantes.py para este fondo.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FIDELITY EM EU M EA AF (2 clases)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SRRI=NULL. Texto sin señales extraíbles. URL del KIID posiblemente inválida.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Verificar URLs. Si son WRONG_DOC, marcar y excluir del universo.</w:t>
            </w:r>
          </w:p>
        </w:tc>
      </w:tr>
    </w:tbl>
    <w:p>
      <w:pPr>
        <w:spacing w:after="100"/>
      </w:pPr>
      <w:r>
        <w:t xml:space="preserve"/>
      </w:r>
    </w:p>
    <w:p>
      <w:pPr>
        <w:pStyle w:val="Heading1"/>
      </w:pPr>
      <w:r>
        <w:rPr>
          <w:rFonts w:ascii="Arial" w:cs="Arial" w:eastAsia="Arial" w:hAnsi="Arial"/>
          <w:b/>
          <w:bCs/>
          <w:color w:val="1A3A6B"/>
          <w:sz w:val="34"/>
          <w:szCs w:val="34"/>
        </w:rPr>
        <w:t xml:space="preserve">5. INCONSISTENCIAS FUND_FAMILY (9 familias)</w:t>
      </w:r>
    </w:p>
    <w:p>
      <w:pPr>
        <w:pBdr>
          <w:bottom w:val="single" w:color="2E5FA3" w:sz="6" w:space="1"/>
        </w:pBdr>
        <w:spacing w:after="160"/>
      </w:pPr>
    </w:p>
    <w:p>
      <w:pPr>
        <w:spacing w:after="80"/>
      </w:pPr>
      <w:r>
        <w:rPr>
          <w:rFonts w:ascii="Arial" w:cs="Arial" w:eastAsia="Arial" w:hAnsi="Arial"/>
          <w:sz w:val="21"/>
          <w:szCs w:val="21"/>
        </w:rPr>
        <w:t xml:space="preserve">El fund_family_builder detecta 9 familias donde distintas clases del mismo fondo tienen Fund_Nature diferente. Esto indica que el clasificador produce resultados no deterministas para textos KIID ligeramente distintos de la misma estrategia.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1500"/>
        <w:gridCol w:w="2400"/>
        <w:gridCol w:w="3160"/>
      </w:tblGrid>
      <w:tr>
        <w:trPr>
          <w:tblHeader/>
        </w:trPr>
        <w:tc>
          <w:tcPr>
            <w:tcW w:type="dxa" w:w="1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Familia</w:t>
            </w:r>
          </w:p>
        </w:tc>
        <w:tc>
          <w:tcPr>
            <w:tcW w:type="dxa" w:w="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Fondos</w:t>
            </w:r>
          </w:p>
        </w:tc>
        <w:tc>
          <w:tcPr>
            <w:tcW w:type="dxa" w:w="1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Naturaleza inconsistente</w:t>
            </w:r>
          </w:p>
        </w:tc>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Causa raíz</w:t>
            </w:r>
          </w:p>
        </w:tc>
        <w:tc>
          <w:tcPr>
            <w:tcW w:type="dxa" w:w="31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Corrección</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FAM_000121 AMUNDI EUROLAND EQ</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3</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Monetario + RV</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Clase INC entra al bloque Monetarios — señal de nombre no captura equity</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Añadir 'euroland eq' a NAME_SIGNALS_RV. SQL UPDATE la clase MONETARIO a RV.</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FAM_000513 BNP SMART FOOD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Monetario + RV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Misma causa que FAM_000121 — clase N sin señal equity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Añadir 'smart food' a NAME_SIGNALS_RV. SQL UPDATE.</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FAM_000945/946 DWS MULTI OPP</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2</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Mixtos + RF_Corto</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Duplicado en BD (mismo nombre, ISIN distinto). Texto de una clase no tiene señal Mixtos</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Verificar duplicados. Texto DWS MULTI OPP describe estrategia multi-activo → Mixtos correcto.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FAM_001293 TEMPLETON GLOBAL INCOME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Mixtos + RV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Clase INCOME: texto menciona tanto bonos como acciones → Mixtos. Clase A: texto solo acciones → RV. Fondo genuinamente mixto.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Ambas clases deben ser Mixtos (SFDR Art.8, invierte tanto en RV como RF). SQL UPDATE clase RV → Mixtos.</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FAM_001343 GS GBL EQ INCOME</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2</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Mixtos + RV</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'obligaciones' activaba has_bonds (falso positivo ya corregido). Verificar si persiste en el próximo descubrimiento.</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Lanzar ciclo verificación. Si persiste: 'eq income' → NAME_SIGNALS_RV.</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FAM_001604 JPM GL BOND OPP</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Mixtos + RF_Flexible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Una clase JPM con OCR fusionado cae en Mixtos por señales ambiguas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Señal 'gl bond opp' ya en NAME_SIGNALS_RF_FLEXIBLE. Verificar en próximo ciclo.</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FAM_001697 JPM US VALUE</w:t>
            </w:r>
          </w:p>
        </w:tc>
        <w:tc>
          <w:tcPr>
            <w:tcW w:type="dxa" w:w="7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3</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Alternativo + RV</w:t>
            </w:r>
          </w:p>
        </w:tc>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Alternativo dispara en fondos de gestión activa value — señal demasiado amplia</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Revisar qué señal Alternativo activa. Añadir 'us value' como señal RV.</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FAM_001897 THEMATICS SAFETY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Alternativo + RV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Clase HEDGE usa derivados L/S → Alternativo correcto. Clases normales → RV. Familia intencionalmente mixta.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Mantener: HEDGE → Alternativo, resto → RV es correcto. No es inconsistencia real.</w:t>
            </w:r>
          </w:p>
        </w:tc>
      </w:tr>
    </w:tbl>
    <w:p>
      <w:pPr>
        <w:spacing w:after="100"/>
      </w:pPr>
      <w:r>
        <w:t xml:space="preserve"/>
      </w:r>
    </w:p>
    <w:p>
      <w:pPr>
        <w:spacing w:after="0"/>
      </w:pPr>
      <w:r>
        <w:br w:type="page"/>
      </w:r>
    </w:p>
    <w:p>
      <w:pPr>
        <w:pStyle w:val="Heading1"/>
      </w:pPr>
      <w:r>
        <w:rPr>
          <w:rFonts w:ascii="Arial" w:cs="Arial" w:eastAsia="Arial" w:hAnsi="Arial"/>
          <w:b/>
          <w:bCs/>
          <w:color w:val="1A3A6B"/>
          <w:sz w:val="34"/>
          <w:szCs w:val="34"/>
        </w:rPr>
        <w:t xml:space="preserve">6. CALIDAD DE DATOS — GAPS Y OPORTUNIDADES</w:t>
      </w:r>
    </w:p>
    <w:p>
      <w:pPr>
        <w:pBdr>
          <w:bottom w:val="single" w:color="2E5FA3" w:sz="6" w:space="1"/>
        </w:pBdr>
        <w:spacing w:after="160"/>
      </w:pPr>
    </w:p>
    <w:p>
      <w:pPr>
        <w:pStyle w:val="Heading2"/>
      </w:pPr>
      <w:r>
        <w:rPr>
          <w:rFonts w:ascii="Arial" w:cs="Arial" w:eastAsia="Arial" w:hAnsi="Arial"/>
          <w:b/>
          <w:bCs/>
          <w:color w:val="2E5FA3"/>
          <w:sz w:val="26"/>
          <w:szCs w:val="26"/>
        </w:rPr>
        <w:t xml:space="preserve">6.1 Cobertura actual de atributos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200"/>
        <w:gridCol w:w="4460"/>
      </w:tblGrid>
      <w:tr>
        <w:trPr>
          <w:tblHeader/>
        </w:trPr>
        <w:tc>
          <w:tcPr>
            <w:tcW w:type="dxa" w:w="2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Atributo</w:t>
            </w:r>
          </w:p>
        </w:tc>
        <w:tc>
          <w:tcPr>
            <w:tcW w:type="dxa" w:w="1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Cobertura</w:t>
            </w:r>
          </w:p>
        </w:tc>
        <w:tc>
          <w:tcPr>
            <w:tcW w:type="dxa" w:w="1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Estado</w:t>
            </w:r>
          </w:p>
        </w:tc>
        <w:tc>
          <w:tcPr>
            <w:tcW w:type="dxa" w:w="44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Impacto en P2/P3</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Profile (Conservador/Moderado/Dinámico)</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99.7%</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A6B2E"/>
                <w:sz w:val="19"/>
                <w:szCs w:val="19"/>
              </w:rPr>
              <w:t xml:space="preserve">✅ Excelente</w:t>
            </w:r>
          </w:p>
        </w:tc>
        <w:tc>
          <w:tcPr>
            <w:tcW w:type="dxa" w:w="4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Alto — filtro base P3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Type (Gestión Activa, Allocation...)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99.7%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2E"/>
                <w:sz w:val="19"/>
                <w:szCs w:val="19"/>
              </w:rPr>
              <w:t xml:space="preserve">✅ Excelente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Alto — segmentación P3</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Fund_Currency</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98.2%</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A6B2E"/>
                <w:sz w:val="19"/>
                <w:szCs w:val="19"/>
              </w:rPr>
              <w:t xml:space="preserve">✅ Excelente</w:t>
            </w:r>
          </w:p>
        </w:tc>
        <w:tc>
          <w:tcPr>
            <w:tcW w:type="dxa" w:w="4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Alto — deflactación P2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SRRI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99.3%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2E"/>
                <w:sz w:val="19"/>
                <w:szCs w:val="19"/>
              </w:rPr>
              <w:t xml:space="preserve">✅ Excelente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Alto — control riesgo P3</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Geography</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86.6%</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1A6B2E"/>
                <w:sz w:val="19"/>
                <w:szCs w:val="19"/>
              </w:rPr>
              <w:t xml:space="preserve">✓ Bueno</w:t>
            </w:r>
          </w:p>
        </w:tc>
        <w:tc>
          <w:tcPr>
            <w:tcW w:type="dxa" w:w="4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Medio — diversificación P3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Replication_Method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2E"/>
                <w:sz w:val="19"/>
                <w:szCs w:val="19"/>
              </w:rPr>
              <w:t xml:space="preserve">✓ Bueno</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Medio — activo/pasivo scoring</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Recommended_Holding_Period</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75.1%</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8B1A1A"/>
                <w:sz w:val="19"/>
                <w:szCs w:val="19"/>
              </w:rPr>
              <w:t xml:space="preserve">⚠ Mejorable</w:t>
            </w:r>
          </w:p>
        </w:tc>
        <w:tc>
          <w:tcPr>
            <w:tcW w:type="dxa" w:w="4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Medio — horizonte temporal P3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Ongoing_Charge (TER)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73.7%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1A1A"/>
                <w:sz w:val="19"/>
                <w:szCs w:val="19"/>
              </w:rPr>
              <w:t xml:space="preserve">⚠ Mejorable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Alto — coste mantenimiento P3</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Is_ESG / Sfdr_Article</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63.4% / 61.7%</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8B1A1A"/>
                <w:sz w:val="19"/>
                <w:szCs w:val="19"/>
              </w:rPr>
              <w:t xml:space="preserve">⚠ Mejorable</w:t>
            </w:r>
          </w:p>
        </w:tc>
        <w:tc>
          <w:tcPr>
            <w:tcW w:type="dxa" w:w="4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Medio — filtro sostenibilidad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Benchmark_Declared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54.3%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1A1A"/>
                <w:sz w:val="19"/>
                <w:szCs w:val="19"/>
              </w:rPr>
              <w:t xml:space="preserve">⚠ Deficiente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Alto — alfa/TE P2 bloqueado</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Exit_Fee_Pct</w:t>
            </w:r>
          </w:p>
        </w:tc>
        <w:tc>
          <w:tcPr>
            <w:tcW w:type="dxa" w:w="1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60.2%</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bCs/>
                <w:color w:val="8B1A1A"/>
                <w:sz w:val="19"/>
                <w:szCs w:val="19"/>
              </w:rPr>
              <w:t xml:space="preserve">⚠ Mejorable</w:t>
            </w:r>
          </w:p>
        </w:tc>
        <w:tc>
          <w:tcPr>
            <w:tcW w:type="dxa" w:w="4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Alto — coste rotación P3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Leverage_Used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24.3%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 Insuficiente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Medio — gestión riesgo P3</w:t>
            </w:r>
          </w:p>
        </w:tc>
      </w:tr>
    </w:tbl>
    <w:p>
      <w:pPr>
        <w:spacing w:after="100"/>
      </w:pPr>
      <w:r>
        <w:t xml:space="preserve"/>
      </w:r>
    </w:p>
    <w:p>
      <w:pPr>
        <w:pStyle w:val="Heading2"/>
      </w:pPr>
      <w:r>
        <w:rPr>
          <w:rFonts w:ascii="Arial" w:cs="Arial" w:eastAsia="Arial" w:hAnsi="Arial"/>
          <w:b/>
          <w:bCs/>
          <w:color w:val="2E5FA3"/>
          <w:sz w:val="26"/>
          <w:szCs w:val="26"/>
        </w:rPr>
        <w:t xml:space="preserve">6.2 Benchmark: principal gap para P2</w:t>
      </w:r>
    </w:p>
    <w:p>
      <w:pPr>
        <w:spacing w:after="80"/>
      </w:pPr>
      <w:r>
        <w:rPr>
          <w:rFonts w:ascii="Arial" w:cs="Arial" w:eastAsia="Arial" w:hAnsi="Arial"/>
          <w:sz w:val="21"/>
          <w:szCs w:val="21"/>
        </w:rPr>
        <w:t xml:space="preserve">Con solo el 54.3% de cobertura de Benchmark_Declared, los cálculos de alfa, tracking error y ratio de información de P2 solo serán posibles para ~1.739 fondos. El 45.7% restante se procesará sin referencia, limitando la profundidad del análisis cuantitativo.</w:t>
      </w:r>
    </w:p>
    <w:p>
      <w:pPr>
        <w:spacing w:after="100"/>
      </w:pPr>
      <w:r>
        <w:t xml:space="preserve"/>
      </w:r>
    </w:p>
    <w:p>
      <w:pPr>
        <w:spacing w:after="80"/>
      </w:pPr>
      <w:r>
        <w:rPr>
          <w:rFonts w:ascii="Arial" w:cs="Arial" w:eastAsia="Arial" w:hAnsi="Arial"/>
          <w:b/>
          <w:bCs/>
          <w:sz w:val="21"/>
          <w:szCs w:val="21"/>
        </w:rPr>
        <w:t xml:space="preserve">Causa identificada: </w:t>
      </w:r>
      <w:r>
        <w:rPr>
          <w:rFonts w:ascii="Arial" w:cs="Arial" w:eastAsia="Arial" w:hAnsi="Arial"/>
          <w:sz w:val="21"/>
          <w:szCs w:val="21"/>
        </w:rPr>
        <w:t xml:space="preserve">el COALESCE implementado en sqlite_writer.py garantiza que los benchmarks ya extraídos no se borren en ciclos futuros. Sin embargo, la extracción inicial del benchmark no re-procesó los fondos CACHED que ya tenían NULL. El próximo ciclo completo (con PDF re-descarga) debería mejorar esta cobertura hasta ~75% estimado.</w:t>
      </w:r>
    </w:p>
    <w:p>
      <w:pPr>
        <w:spacing w:after="100"/>
      </w:pPr>
      <w:r>
        <w:t xml:space="preserve"/>
      </w:r>
    </w:p>
    <w:p>
      <w:pPr>
        <w:pStyle w:val="Heading2"/>
      </w:pPr>
      <w:r>
        <w:rPr>
          <w:rFonts w:ascii="Arial" w:cs="Arial" w:eastAsia="Arial" w:hAnsi="Arial"/>
          <w:b/>
          <w:bCs/>
          <w:color w:val="2E5FA3"/>
          <w:sz w:val="26"/>
          <w:szCs w:val="26"/>
        </w:rPr>
        <w:t xml:space="preserve">6.3 SRRI CONFLICT: 53 fondos con discrepancia material</w:t>
      </w:r>
    </w:p>
    <w:p>
      <w:pPr>
        <w:spacing w:after="80"/>
      </w:pPr>
      <w:r>
        <w:rPr>
          <w:rFonts w:ascii="Arial" w:cs="Arial" w:eastAsia="Arial" w:hAnsi="Arial"/>
          <w:sz w:val="21"/>
          <w:szCs w:val="21"/>
        </w:rPr>
        <w:t xml:space="preserve">Los 53 conflictos representan el 1.7% del universo pero tienen impacto directo en la fiabilidad del control de riesgo en P3. El 75% de los conflictos (40/53) tienen diferencia &gt; 1 nivel entre visual y textual, lo que no puede ser un error de bordes de clase.</w:t>
      </w:r>
    </w:p>
    <w:p>
      <w:pPr>
        <w:spacing w:after="100"/>
      </w:pPr>
      <w:r>
        <w:t xml:space="preserve"/>
      </w:r>
    </w:p>
    <w:p>
      <w:pPr>
        <w:spacing w:after="80"/>
      </w:pPr>
      <w:r>
        <w:rPr>
          <w:rFonts w:ascii="Arial" w:cs="Arial" w:eastAsia="Arial" w:hAnsi="Arial"/>
          <w:b/>
          <w:bCs/>
          <w:sz w:val="21"/>
          <w:szCs w:val="21"/>
        </w:rPr>
        <w:t xml:space="preserve">Hipótesis más probable: </w:t>
      </w:r>
      <w:r>
        <w:rPr>
          <w:rFonts w:ascii="Arial" w:cs="Arial" w:eastAsia="Arial" w:hAnsi="Arial"/>
          <w:sz w:val="21"/>
          <w:szCs w:val="21"/>
        </w:rPr>
        <w:t xml:space="preserve">el extractor visual detecta el widget de la tabla de escenarios de rentabilidad (que usa una escala numérica similar) en fondos Amundi, Rothschild y BNP en lugar del widget SRRI real. Los fondos afectados tienen principalmente SRRI_Visual alto (5-7) con SRRI_Textual bajo (1-2).</w:t>
      </w:r>
    </w:p>
    <w:p>
      <w:pPr>
        <w:spacing w:after="100"/>
      </w:pPr>
      <w:r>
        <w:t xml:space="preserve"/>
      </w:r>
    </w:p>
    <w:p>
      <w:pPr>
        <w:spacing w:after="0"/>
      </w:pPr>
      <w:r>
        <w:br w:type="page"/>
      </w:r>
    </w:p>
    <w:p>
      <w:pPr>
        <w:pStyle w:val="Heading1"/>
      </w:pPr>
      <w:r>
        <w:rPr>
          <w:rFonts w:ascii="Arial" w:cs="Arial" w:eastAsia="Arial" w:hAnsi="Arial"/>
          <w:b/>
          <w:bCs/>
          <w:color w:val="1A3A6B"/>
          <w:sz w:val="34"/>
          <w:szCs w:val="34"/>
        </w:rPr>
        <w:t xml:space="preserve">7. GAPS DE P1 QUE LIMITAN P2 Y P3</w:t>
      </w:r>
    </w:p>
    <w:p>
      <w:pPr>
        <w:pBdr>
          <w:bottom w:val="single" w:color="2E5FA3" w:sz="6" w:space="1"/>
        </w:pBdr>
        <w:spacing w:after="160"/>
      </w:pPr>
    </w:p>
    <w:p>
      <w:pPr>
        <w:pStyle w:val="Heading2"/>
      </w:pPr>
      <w:r>
        <w:rPr>
          <w:rFonts w:ascii="Arial" w:cs="Arial" w:eastAsia="Arial" w:hAnsi="Arial"/>
          <w:b/>
          <w:bCs/>
          <w:color w:val="2E5FA3"/>
          <w:sz w:val="26"/>
          <w:szCs w:val="26"/>
        </w:rPr>
        <w:t xml:space="preserve">7.1 Gaps bloqueantes para Proyecto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300"/>
        <w:gridCol w:w="32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Gap</w:t>
            </w:r>
          </w:p>
        </w:tc>
        <w:tc>
          <w:tcPr>
            <w:tcW w:type="dxa" w:w="13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Fondos afectados</w:t>
            </w:r>
          </w:p>
        </w:tc>
        <w:tc>
          <w:tcPr>
            <w:tcW w:type="dxa" w:w="23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Impacto</w:t>
            </w:r>
          </w:p>
        </w:tc>
        <w:tc>
          <w:tcPr>
            <w:tcW w:type="dxa" w:w="32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Plan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Benchmark_Declared NULL (45.7%)</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1.465</w:t>
            </w:r>
          </w:p>
        </w:tc>
        <w:tc>
          <w:tcPr>
            <w:tcW w:type="dxa" w:w="2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Alfa, TE e IR no calculables</w:t>
            </w:r>
          </w:p>
        </w:tc>
        <w:tc>
          <w:tcPr>
            <w:tcW w:type="dxa" w:w="3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Priorizar próximo ciclo con re-extracción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SRRI NOT_AVAILABLE (22)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Excluidos de filtros de riesgo</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SQL UPDATE manual + FORCE_REFRESH</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SRRI CONFLICT material (40)</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40</w:t>
            </w:r>
          </w:p>
        </w:tc>
        <w:tc>
          <w:tcPr>
            <w:tcW w:type="dxa" w:w="2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SRRI no fiable — riesgo subestimado/sobreestimado</w:t>
            </w:r>
          </w:p>
        </w:tc>
        <w:tc>
          <w:tcPr>
            <w:tcW w:type="dxa" w:w="32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Resolución manual PDF o heurística de preferencia textual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Ongoing_Charge NULL (26.3%)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842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Retorno neto no calculable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 bloquea P2 — cálculo parcial sin TER</w:t>
            </w:r>
          </w:p>
        </w:tc>
      </w:tr>
    </w:tbl>
    <w:p>
      <w:pPr>
        <w:spacing w:after="100"/>
      </w:pPr>
      <w:r>
        <w:t xml:space="preserve"/>
      </w:r>
    </w:p>
    <w:p>
      <w:pPr>
        <w:pStyle w:val="Heading2"/>
      </w:pPr>
      <w:r>
        <w:rPr>
          <w:rFonts w:ascii="Arial" w:cs="Arial" w:eastAsia="Arial" w:hAnsi="Arial"/>
          <w:b/>
          <w:bCs/>
          <w:color w:val="2E5FA3"/>
          <w:sz w:val="26"/>
          <w:szCs w:val="26"/>
        </w:rPr>
        <w:t xml:space="preserve">7.2 Gaps que degradan Proyecto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3100"/>
        <w:gridCol w:w="256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Gap</w:t>
            </w:r>
          </w:p>
        </w:tc>
        <w:tc>
          <w:tcPr>
            <w:tcW w:type="dxa" w:w="13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Fondos afectados</w:t>
            </w:r>
          </w:p>
        </w:tc>
        <w:tc>
          <w:tcPr>
            <w:tcW w:type="dxa" w:w="3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Impacto en scoring P3</w:t>
            </w:r>
          </w:p>
        </w:tc>
        <w:tc>
          <w:tcPr>
            <w:tcW w:type="dxa" w:w="2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Severidad</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Exit_Fee_Pct NULL (40%)</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1.274</w:t>
            </w:r>
          </w:p>
        </w:tc>
        <w:tc>
          <w:tcPr>
            <w:tcW w:type="dxa" w:w="3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Coste de rotación sin datos → infravaloración de costes de rebalanceo</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Leverage_Used NULL (76%)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2.424</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Fondos apalancados no identificados → riesgo no controlado en cartera defensiva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Alta</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Benchmark_Type NULL (45%)</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1.465</w:t>
            </w:r>
          </w:p>
        </w:tc>
        <w:tc>
          <w:tcPr>
            <w:tcW w:type="dxa" w:w="3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Scoring activo/pasivo incompleto</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Is_ESG sin determinar (37%)</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1.174</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Filtro de sostenibilidad incompleto si aplica mandato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Media</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Geography NULL (13%)</w:t>
            </w:r>
          </w:p>
        </w:tc>
        <w:tc>
          <w:tcPr>
            <w:tcW w:type="dxa" w:w="1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430</w:t>
            </w:r>
          </w:p>
        </w:tc>
        <w:tc>
          <w:tcPr>
            <w:tcW w:type="dxa" w:w="31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Control de concentración geográfica parcial</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Media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Restantes 0.6% (18)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18</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Fondos sin bloque funcional — excluidos del universo P3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Baja</w:t>
            </w:r>
          </w:p>
        </w:tc>
      </w:tr>
    </w:tbl>
    <w:p>
      <w:pPr>
        <w:spacing w:after="100"/>
      </w:pPr>
      <w:r>
        <w:t xml:space="preserve"/>
      </w:r>
    </w:p>
    <w:p>
      <w:pPr>
        <w:pStyle w:val="Heading2"/>
      </w:pPr>
      <w:r>
        <w:rPr>
          <w:rFonts w:ascii="Arial" w:cs="Arial" w:eastAsia="Arial" w:hAnsi="Arial"/>
          <w:b/>
          <w:bCs/>
          <w:color w:val="2E5FA3"/>
          <w:sz w:val="26"/>
          <w:szCs w:val="26"/>
        </w:rPr>
        <w:t xml:space="preserve">7.3 Condiciones de arranque P2</w:t>
      </w:r>
    </w:p>
    <w:p>
      <w:pPr>
        <w:spacing w:after="80"/>
      </w:pPr>
      <w:r>
        <w:rPr>
          <w:rFonts w:ascii="Arial" w:cs="Arial" w:eastAsia="Arial" w:hAnsi="Arial"/>
          <w:sz w:val="21"/>
          <w:szCs w:val="21"/>
        </w:rPr>
        <w:t xml:space="preserve">Con los resultados del 29-03-2026, P2 puede arrancar con las siguientes condiciones:</w:t>
      </w:r>
    </w:p>
    <w:p>
      <w:pPr>
        <w:spacing w:after="100"/>
      </w:pPr>
      <w:r>
        <w:t xml:space="preserve"/>
      </w:r>
    </w:p>
    <w:p>
      <w:pPr>
        <w:pStyle w:val="ListParagraph"/>
        <w:numPr>
          <w:ilvl w:val="0"/>
          <w:numId w:val="2"/>
        </w:numPr>
        <w:spacing w:after="60"/>
      </w:pPr>
      <w:r>
        <w:rPr>
          <w:rFonts w:ascii="Arial" w:cs="Arial" w:eastAsia="Arial" w:hAnsi="Arial"/>
          <w:sz w:val="21"/>
          <w:szCs w:val="21"/>
        </w:rPr>
        <w:t xml:space="preserve">Fund_Nature: 99.4% clasificado — suficiente para segmentación del universo</w:t>
      </w:r>
    </w:p>
    <w:p>
      <w:pPr>
        <w:pStyle w:val="ListParagraph"/>
        <w:numPr>
          <w:ilvl w:val="0"/>
          <w:numId w:val="2"/>
        </w:numPr>
        <w:spacing w:after="60"/>
      </w:pPr>
      <w:r>
        <w:rPr>
          <w:rFonts w:ascii="Arial" w:cs="Arial" w:eastAsia="Arial" w:hAnsi="Arial"/>
          <w:sz w:val="21"/>
          <w:szCs w:val="21"/>
        </w:rPr>
        <w:t xml:space="preserve">SRRI: 99.3% — suficiente para filtros de riesgo (con caveat en 53 CONFLICT)</w:t>
      </w:r>
    </w:p>
    <w:p>
      <w:pPr>
        <w:pStyle w:val="ListParagraph"/>
        <w:numPr>
          <w:ilvl w:val="0"/>
          <w:numId w:val="2"/>
        </w:numPr>
        <w:spacing w:after="60"/>
      </w:pPr>
      <w:r>
        <w:rPr>
          <w:rFonts w:ascii="Arial" w:cs="Arial" w:eastAsia="Arial" w:hAnsi="Arial"/>
          <w:sz w:val="21"/>
          <w:szCs w:val="21"/>
        </w:rPr>
        <w:t xml:space="preserve">Fund_Currency: 98.2% — suficiente para deflactación</w:t>
      </w:r>
    </w:p>
    <w:p>
      <w:pPr>
        <w:pStyle w:val="ListParagraph"/>
        <w:numPr>
          <w:ilvl w:val="0"/>
          <w:numId w:val="2"/>
        </w:numPr>
        <w:spacing w:after="60"/>
      </w:pPr>
      <w:r>
        <w:rPr>
          <w:rFonts w:ascii="Arial" w:cs="Arial" w:eastAsia="Arial" w:hAnsi="Arial"/>
          <w:sz w:val="21"/>
          <w:szCs w:val="21"/>
        </w:rPr>
        <w:t xml:space="preserve">Profile: 99.7% — suficiente para segmentación</w:t>
      </w:r>
    </w:p>
    <w:p>
      <w:pPr>
        <w:pStyle w:val="ListParagraph"/>
        <w:numPr>
          <w:ilvl w:val="0"/>
          <w:numId w:val="2"/>
        </w:numPr>
        <w:spacing w:after="60"/>
      </w:pPr>
      <w:r>
        <w:rPr>
          <w:rFonts w:ascii="Arial" w:cs="Arial" w:eastAsia="Arial" w:hAnsi="Arial"/>
          <w:sz w:val="21"/>
          <w:szCs w:val="21"/>
        </w:rPr>
        <w:t xml:space="preserve">Benchmark_Declared: 54.3% — calcular métricas relativas solo para fondos con benchmark. No bloquea el arranque.</w:t>
      </w:r>
    </w:p>
    <w:p>
      <w:pPr>
        <w:spacing w:after="100"/>
      </w:pPr>
      <w:r>
        <w:t xml:space="preserve"/>
      </w:r>
    </w:p>
    <w:p>
      <w:pPr>
        <w:pStyle w:val="Heading1"/>
      </w:pPr>
      <w:r>
        <w:rPr>
          <w:rFonts w:ascii="Arial" w:cs="Arial" w:eastAsia="Arial" w:hAnsi="Arial"/>
          <w:b/>
          <w:bCs/>
          <w:color w:val="1A3A6B"/>
          <w:sz w:val="34"/>
          <w:szCs w:val="34"/>
        </w:rPr>
        <w:t xml:space="preserve">8. PLAN DE ACCIÓN PRIORIZADO</w:t>
      </w:r>
    </w:p>
    <w:p>
      <w:pPr>
        <w:pBdr>
          <w:bottom w:val="single" w:color="2E5FA3" w:sz="6" w:space="1"/>
        </w:pBdr>
        <w:spacing w:after="160"/>
      </w:pPr>
    </w:p>
    <w:p>
      <w:pPr>
        <w:pStyle w:val="Heading2"/>
      </w:pPr>
      <w:r>
        <w:rPr>
          <w:rFonts w:ascii="Arial" w:cs="Arial" w:eastAsia="Arial" w:hAnsi="Arial"/>
          <w:b/>
          <w:bCs/>
          <w:color w:val="2E5FA3"/>
          <w:sz w:val="26"/>
          <w:szCs w:val="26"/>
        </w:rPr>
        <w:t xml:space="preserve">8.1 Inmediato (antes del próximo ciclo)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2000"/>
        <w:gridCol w:w="3960"/>
      </w:tblGrid>
      <w:tr>
        <w:trPr>
          <w:tblHeader/>
        </w:trPr>
        <w:tc>
          <w:tcPr>
            <w:tcW w:type="dxa" w:w="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Acción</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Fichero/Herramienta</w:t>
            </w:r>
          </w:p>
        </w:tc>
        <w:tc>
          <w:tcPr>
            <w:tcW w:type="dxa" w:w="3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Impacto estimado</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1</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SQL UPDATE: MFS Global Total Return → Mixtos (3 fondos)</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SQL directo en fondos.sqlite</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Elimina inconsistencia FAM_001800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SQL UPDATE: AMUNDI EUROLAND EQ INC → RV, BNP SMART FOOD N → RV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SQL + señal en classify_utils.py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Elimina FAM_000121 y FAM_000513</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3</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KIID_Status=FORCE_REFRESH para 22 SRRI NOT_AVAILABLE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SQL en fund_kiid_metadata</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Recupera hasta 15 SRRI en próximo ciclo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Investigar 53 SRRI CONFLICT: ¿falso positivo extractor visual?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Análisis manual + srri_v5_geometric.py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Corrige hasta 40 SRRIs erróneos</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5</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Señal 'total return' → Mixtos en classify_utils.py</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classify_utils.py</w:t>
            </w:r>
          </w:p>
        </w:tc>
        <w:tc>
          <w:tcPr>
            <w:tcW w:type="dxa" w:w="3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Evita regresión en próximos descubrimientos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Señal 'inflation-linked bond' → RF_Flexible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classify_utils.py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Clasifica VGD EU ZON INF LINK</w:t>
            </w:r>
          </w:p>
        </w:tc>
      </w:tr>
    </w:tbl>
    <w:p>
      <w:pPr>
        <w:spacing w:after="100"/>
      </w:pPr>
      <w:r>
        <w:t xml:space="preserve"/>
      </w:r>
    </w:p>
    <w:p>
      <w:pPr>
        <w:pStyle w:val="Heading2"/>
      </w:pPr>
      <w:r>
        <w:rPr>
          <w:rFonts w:ascii="Arial" w:cs="Arial" w:eastAsia="Arial" w:hAnsi="Arial"/>
          <w:b/>
          <w:bCs/>
          <w:color w:val="2E5FA3"/>
          <w:sz w:val="26"/>
          <w:szCs w:val="26"/>
        </w:rPr>
        <w:t xml:space="preserve">8.2 Próximo ciclo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00"/>
        <w:gridCol w:w="4760"/>
      </w:tblGrid>
      <w:tr>
        <w:trPr>
          <w:tblHeader/>
        </w:trPr>
        <w:tc>
          <w:tcPr>
            <w:tcW w:type="dxa" w:w="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4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Acción</w:t>
            </w:r>
          </w:p>
        </w:tc>
        <w:tc>
          <w:tcPr>
            <w:tcW w:type="dxa" w:w="47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rFonts w:ascii="Arial" w:cs="Arial" w:eastAsia="Arial" w:hAnsi="Arial"/>
                <w:b/>
                <w:bCs/>
                <w:color w:val="FFFFFF"/>
                <w:sz w:val="19"/>
                <w:szCs w:val="19"/>
              </w:rPr>
              <w:t xml:space="preserve">Impacto estimado</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1</w:t>
            </w:r>
          </w:p>
        </w:tc>
        <w:tc>
          <w:tcPr>
            <w:tcW w:type="dxa" w:w="4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Descubrimiento completo con FORCE_REFRESH en SRRI NOT_AVAILABLE — recuperar SRRI_Visual para 22 fondos</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+15-20 SRRI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Analizar 53 CONFLICT: ajustar heurística de preferencia en extractor visual para fondos Amundi/Rothschild/BNP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−40 CONFLICTs → MATCH o ajuste</w:t>
            </w:r>
          </w:p>
        </w:tc>
      </w:tr>
      <w:tr>
        <w:tc>
          <w:tcPr>
            <w:tcW w:type="dxa" w:w="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3</w:t>
            </w:r>
          </w:p>
        </w:tc>
        <w:tc>
          <w:tcPr>
            <w:tcW w:type="dxa" w:w="4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Benchmark: verificar que COALESCE mejora cobertura en ciclo completo (objetivo: &gt;65%)</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19"/>
                <w:szCs w:val="19"/>
              </w:rPr>
              <w:t xml:space="preserve">+200 benchmarks estimados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Validar que las correcciones de fund_family (FAM_000945/946 DWS MULTI OPP) son estables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−2 inconsistencias</w:t>
            </w:r>
          </w:p>
        </w:tc>
      </w:tr>
    </w:tbl>
    <w:p>
      <w:pPr>
        <w:spacing w:after="100"/>
      </w:pPr>
      <w:r>
        <w:t xml:space="preserve"/>
      </w:r>
    </w:p>
    <w:p>
      <w:pPr>
        <w:pStyle w:val="Heading2"/>
      </w:pPr>
      <w:r>
        <w:rPr>
          <w:rFonts w:ascii="Arial" w:cs="Arial" w:eastAsia="Arial" w:hAnsi="Arial"/>
          <w:b/>
          <w:bCs/>
          <w:color w:val="2E5FA3"/>
          <w:sz w:val="26"/>
          <w:szCs w:val="26"/>
        </w:rPr>
        <w:t xml:space="preserve">8.3 Antes de arranque real de P3</w:t>
      </w:r>
    </w:p>
    <w:p>
      <w:pPr>
        <w:pStyle w:val="ListParagraph"/>
        <w:numPr>
          <w:ilvl w:val="0"/>
          <w:numId w:val="2"/>
        </w:numPr>
        <w:spacing w:after="60"/>
      </w:pPr>
      <w:r>
        <w:rPr>
          <w:rFonts w:ascii="Arial" w:cs="Arial" w:eastAsia="Arial" w:hAnsi="Arial"/>
          <w:sz w:val="21"/>
          <w:szCs w:val="21"/>
        </w:rPr>
        <w:t xml:space="preserve">Cobertura SRRI ≥ 99% con calidad MATCH o VISUAL_ONLY (actualmente 99.3% con 1.7% CONFLICT pendiente)</w:t>
      </w:r>
    </w:p>
    <w:p>
      <w:pPr>
        <w:pStyle w:val="ListParagraph"/>
        <w:numPr>
          <w:ilvl w:val="0"/>
          <w:numId w:val="2"/>
        </w:numPr>
        <w:spacing w:after="60"/>
      </w:pPr>
      <w:r>
        <w:rPr>
          <w:rFonts w:ascii="Arial" w:cs="Arial" w:eastAsia="Arial" w:hAnsi="Arial"/>
          <w:sz w:val="21"/>
          <w:szCs w:val="21"/>
        </w:rPr>
        <w:t xml:space="preserve">Inconsistencias fund_family ≤ 3 familias (actualmente 9 — reducibles a 4-5 con las correcciones del apartado 8.1)</w:t>
      </w:r>
    </w:p>
    <w:p>
      <w:pPr>
        <w:pStyle w:val="ListParagraph"/>
        <w:numPr>
          <w:ilvl w:val="0"/>
          <w:numId w:val="2"/>
        </w:numPr>
        <w:spacing w:after="60"/>
      </w:pPr>
      <w:r>
        <w:rPr>
          <w:rFonts w:ascii="Arial" w:cs="Arial" w:eastAsia="Arial" w:hAnsi="Arial"/>
          <w:sz w:val="21"/>
          <w:szCs w:val="21"/>
        </w:rPr>
        <w:t xml:space="preserve">Benchmark_Declared ≥ 65% (actualmente 54.3%)</w:t>
      </w:r>
    </w:p>
    <w:p>
      <w:pPr>
        <w:pStyle w:val="ListParagraph"/>
        <w:numPr>
          <w:ilvl w:val="0"/>
          <w:numId w:val="2"/>
        </w:numPr>
        <w:spacing w:after="60"/>
      </w:pPr>
      <w:r>
        <w:rPr>
          <w:rFonts w:ascii="Arial" w:cs="Arial" w:eastAsia="Arial" w:hAnsi="Arial"/>
          <w:sz w:val="21"/>
          <w:szCs w:val="21"/>
        </w:rPr>
        <w:t xml:space="preserve">Exit_Fee_Pct ≥ 70% (actualmente 60.2%)</w:t>
      </w:r>
    </w:p>
    <w:p>
      <w:pPr>
        <w:pStyle w:val="ListParagraph"/>
        <w:numPr>
          <w:ilvl w:val="0"/>
          <w:numId w:val="2"/>
        </w:numPr>
        <w:spacing w:after="60"/>
      </w:pPr>
      <w:r>
        <w:rPr>
          <w:rFonts w:ascii="Arial" w:cs="Arial" w:eastAsia="Arial" w:hAnsi="Arial"/>
          <w:sz w:val="21"/>
          <w:szCs w:val="21"/>
        </w:rPr>
        <w:t xml:space="preserve">Leverage_Used ≥ 50% (actualmente 24.3% — gap crítico no resuelto)</w:t>
      </w:r>
    </w:p>
    <w:p>
      <w:pPr>
        <w:spacing w:after="100"/>
      </w:pPr>
      <w:r>
        <w:t xml:space="preserve"/>
      </w:r>
    </w:p>
    <w:p>
      <w:pPr>
        <w:pBdr>
          <w:bottom w:val="single" w:color="2E5FA3" w:sz="6" w:space="1"/>
        </w:pBdr>
        <w:spacing w:after="160"/>
      </w:pPr>
    </w:p>
    <w:p>
      <w:pPr>
        <w:jc w:val="center"/>
      </w:pPr>
      <w:r>
        <w:rPr>
          <w:rFonts w:ascii="Arial" w:cs="Arial" w:eastAsia="Arial" w:hAnsi="Arial"/>
          <w:i/>
          <w:iCs/>
          <w:color w:val="999999"/>
          <w:sz w:val="19"/>
          <w:szCs w:val="19"/>
        </w:rPr>
        <w:t xml:space="preserve">Fin del informe — Plataforma de Análisis de Fondos · P1 Build 20260329</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3A6B"/>
      <w:sz w:val="34"/>
      <w:szCs w:val="34"/>
    </w:rPr>
  </w:style>
  <w:style w:type="paragraph" w:styleId="Heading2">
    <w:name w:val="Heading 2"/>
    <w:basedOn w:val="Normal"/>
    <w:next w:val="Normal"/>
    <w:qFormat/>
    <w:pPr>
      <w:spacing w:before="280" w:after="160"/>
      <w:outlineLvl w:val="1"/>
    </w:pPr>
    <w:rPr>
      <w:rFonts w:ascii="Arial" w:cs="Arial" w:eastAsia="Arial" w:hAnsi="Arial"/>
      <w:b/>
      <w:bCs/>
      <w:color w:val="2E5FA3"/>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72C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2026-03-29T07:23:14.300Z</dcterms:created>
  <dcterms:modified xsi:type="dcterms:W3CDTF">2026-03-29T07:23:14.301Z</dcterms:modified>
</cp:coreProperties>
</file>

<file path=docProps/custom.xml><?xml version="1.0" encoding="utf-8"?>
<Properties xmlns="http://schemas.openxmlformats.org/officeDocument/2006/custom-properties" xmlns:vt="http://schemas.openxmlformats.org/officeDocument/2006/docPropsVTypes"/>
</file>