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JamieE16dec Sparkes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Saïd Business School</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16/12/2024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16/12/2025</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16/12/2024</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