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Professor Emanuel 1 Pasat</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Biomedical Services</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80"/>
        <w:gridCol w:w="1553"/>
      </w:tblGrid>
      <w:tr>
        <w:trPr>
          <w:trHeight w:val="321" w:hRule="atLeast"/>
        </w:trPr>
        <w:tc>
          <w:tcPr>
            <w:tcW w:w="808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r>
          </w:p>
        </w:tc>
        <w:tc>
          <w:tcPr>
            <w:tcW w:w="1553"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t>SRL Global work with family offices and investors to provide access to premium services and consultancy. The Consultant will provide advisory services within their area of expertise to clients of SRL Global</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04/02/2025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04/02/2026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39"/>
        <w:gridCol w:w="3188"/>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current academic year</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w:t>
            </w:r>
          </w:p>
        </w:tc>
      </w:tr>
      <w:tr>
        <w:trPr>
          <w:trHeight w:val="402"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39"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2"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Conflict of Interest</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(ii), please delete one of the following as appropriate:</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04/02/2025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Fonts w:ascii="Arial" w:hAnsi="Arial"/>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bidi w:val="0"/>
      <w:spacing w:lineRule="atLeast" w:line="200" w:before="0" w:after="0"/>
      <w:jc w:val="left"/>
    </w:pPr>
    <w:rPr>
      <w:rFonts w:ascii="Arial" w:hAnsi="Arial" w:eastAsia="Tahoma" w:cs="Aptos"/>
      <w:b w:val="false"/>
      <w:i w:val="false"/>
      <w:caps w:val="false"/>
      <w:smallCaps w:val="false"/>
      <w:strike w:val="false"/>
      <w:dstrike w:val="false"/>
      <w:outline w:val="false"/>
      <w:shadow w:val="false"/>
      <w:color w:val="auto"/>
      <w:kern w:val="2"/>
      <w:sz w:val="36"/>
      <w:szCs w:val="24"/>
      <w:u w:val="none"/>
      <w:em w:val="none"/>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LibreOffice/24.8.4.2$Windows_X86_64 LibreOffice_project/bb3cfa12c7b1bf994ecc5649a80400d06cd71002</Application>
  <AppVersion>15.0000</AppVersion>
  <Pages>6</Pages>
  <Words>1740</Words>
  <Characters>9201</Characters>
  <CharactersWithSpaces>10901</CharactersWithSpaces>
  <Paragraphs>118</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2025-01-24T13:44:12Z</dcterms:modified>
  <cp:revision>17</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