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Mrs Ben LostinSpace</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Faculty of Music</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20/11/2024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20/11/2025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20/11/2024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Mrs Ben LostinSpace</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