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/banking-ux-consulting</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Banking UX Consulting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Banking UX consulting for retail and corporate banks. We improve digital banking journeys, redesign legacy interfaces, and support CX transformation programmes.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Banking UX Consulting</w:t>
      </w:r>
    </w:p>
    <w:p>
      <w:pPr>
        <w:spacing w:after="160"/>
      </w:pPr>
      <w:r>
        <w:rPr>
          <w:rFonts w:ascii="Arial" w:cs="Arial" w:eastAsia="Arial" w:hAnsi="Arial"/>
          <w:sz w:val="22"/>
          <w:szCs w:val="22"/>
        </w:rPr>
        <w:t xml:space="preserve">Banking has never moved faster. Your customers expect seamless digital experiences on par with tech companies. Meanwhile, your legacy systems, regulatory constraints, and risk-averse culture make change difficult.</w:t>
      </w:r>
    </w:p>
    <w:p>
      <w:pPr>
        <w:spacing w:after="160"/>
      </w:pPr>
      <w:r>
        <w:rPr>
          <w:rFonts w:ascii="Arial" w:cs="Arial" w:eastAsia="Arial" w:hAnsi="Arial"/>
          <w:sz w:val="22"/>
          <w:szCs w:val="22"/>
        </w:rPr>
        <w:t xml:space="preserve">We help retail and corporate banks close the gap between customer expectations and operational reality. We've helped banks redesign onboarding flows, modernise mobile apps, and rethink digital banking strategy. We understand retail banking, corporate banking, private banking, and the emerging neobank challenge.</w:t>
      </w:r>
    </w:p>
    <w:p>
      <w:r>
        <w:t xml:space="preserve"/>
      </w:r>
    </w:p>
    <w:p>
      <w:pPr>
        <w:pStyle w:val="Heading2"/>
      </w:pPr>
      <w:r>
        <w:rPr>
          <w:rFonts w:ascii="Arial" w:cs="Arial" w:eastAsia="Arial" w:hAnsi="Arial"/>
          <w:b/>
          <w:bCs/>
          <w:sz w:val="28"/>
          <w:szCs w:val="28"/>
        </w:rPr>
        <w:t xml:space="preserve">The Banking UX Challenge</w:t>
      </w:r>
    </w:p>
    <w:p>
      <w:pPr>
        <w:spacing w:after="160"/>
      </w:pPr>
      <w:r>
        <w:rPr>
          <w:rFonts w:ascii="Arial" w:cs="Arial" w:eastAsia="Arial" w:hAnsi="Arial"/>
          <w:sz w:val="22"/>
          <w:szCs w:val="22"/>
        </w:rPr>
        <w:t xml:space="preserve">Digital banking is no longer a competitive advantage—it's table stakes. But executing it at scale, across legacy infrastructure and regulatory complexity, is harder than it looks.</w:t>
      </w:r>
    </w:p>
    <w:p>
      <w:pPr>
        <w:pStyle w:val="Heading3"/>
      </w:pPr>
      <w:r>
        <w:rPr>
          <w:rFonts w:ascii="Arial" w:cs="Arial" w:eastAsia="Arial" w:hAnsi="Arial"/>
          <w:b/>
          <w:bCs/>
          <w:sz w:val="24"/>
          <w:szCs w:val="24"/>
        </w:rPr>
        <w:t xml:space="preserve">Customers expect frictionless journeys</w:t>
      </w:r>
    </w:p>
    <w:p>
      <w:pPr>
        <w:spacing w:after="160"/>
      </w:pPr>
      <w:r>
        <w:rPr>
          <w:rFonts w:ascii="Arial" w:cs="Arial" w:eastAsia="Arial" w:hAnsi="Arial"/>
          <w:sz w:val="22"/>
          <w:szCs w:val="22"/>
        </w:rPr>
        <w:t xml:space="preserve">Your new banking customers have used Revolut, Wise, and other neobanks. They expect instant account opening, mobile-first interfaces, and real-time notifications. Traditional banks with slower onboarding and dated interfaces lose customers to digital-first competitors.</w:t>
      </w:r>
    </w:p>
    <w:p>
      <w:pPr>
        <w:pStyle w:val="Heading3"/>
      </w:pPr>
      <w:r>
        <w:rPr>
          <w:rFonts w:ascii="Arial" w:cs="Arial" w:eastAsia="Arial" w:hAnsi="Arial"/>
          <w:b/>
          <w:bCs/>
          <w:sz w:val="24"/>
          <w:szCs w:val="24"/>
        </w:rPr>
        <w:t xml:space="preserve">Legacy platforms constrain innovation</w:t>
      </w:r>
    </w:p>
    <w:p>
      <w:pPr>
        <w:spacing w:after="160"/>
      </w:pPr>
      <w:r>
        <w:rPr>
          <w:rFonts w:ascii="Arial" w:cs="Arial" w:eastAsia="Arial" w:hAnsi="Arial"/>
          <w:sz w:val="22"/>
          <w:szCs w:val="22"/>
        </w:rPr>
        <w:t xml:space="preserve">Your core banking system was built in the 1990s. It's stable, it works, but it doesn't talk to modern front-ends. A new customer app has to work *around* these systems, introducing complexity and friction. Good banking UX design navigates these constraints without exposing them to users.</w:t>
      </w:r>
    </w:p>
    <w:p>
      <w:pPr>
        <w:pStyle w:val="Heading3"/>
      </w:pPr>
      <w:r>
        <w:rPr>
          <w:rFonts w:ascii="Arial" w:cs="Arial" w:eastAsia="Arial" w:hAnsi="Arial"/>
          <w:b/>
          <w:bCs/>
          <w:sz w:val="24"/>
          <w:szCs w:val="24"/>
        </w:rPr>
        <w:t xml:space="preserve">Trust and security cannot be afterthoughts</w:t>
      </w:r>
    </w:p>
    <w:p>
      <w:pPr>
        <w:spacing w:after="160"/>
      </w:pPr>
      <w:r>
        <w:rPr>
          <w:rFonts w:ascii="Arial" w:cs="Arial" w:eastAsia="Arial" w:hAnsi="Arial"/>
          <w:sz w:val="22"/>
          <w:szCs w:val="22"/>
        </w:rPr>
        <w:t xml:space="preserve">Unlike fintechs, banks carry regulatory weight. Your users expect security as a given, but they also don't want to feel like they're jumping through hoops. Multi-factor authentication, fraud detection, and compliance protocols need to feel seamless, not paranoid.</w:t>
      </w:r>
    </w:p>
    <w:p>
      <w:pPr>
        <w:pStyle w:val="Heading3"/>
      </w:pPr>
      <w:r>
        <w:rPr>
          <w:rFonts w:ascii="Arial" w:cs="Arial" w:eastAsia="Arial" w:hAnsi="Arial"/>
          <w:b/>
          <w:bCs/>
          <w:sz w:val="24"/>
          <w:szCs w:val="24"/>
        </w:rPr>
        <w:t xml:space="preserve">Multi-channel is a must, not a feature</w:t>
      </w:r>
    </w:p>
    <w:p>
      <w:pPr>
        <w:spacing w:after="160"/>
      </w:pPr>
      <w:r>
        <w:rPr>
          <w:rFonts w:ascii="Arial" w:cs="Arial" w:eastAsia="Arial" w:hAnsi="Arial"/>
          <w:sz w:val="22"/>
          <w:szCs w:val="22"/>
        </w:rPr>
        <w:t xml:space="preserve">Your customers use the mobile app, the web platform, the branch, and sometimes phone banking. Inconsistency across channels frustrates users and increases support costs. True digital banking means unified experience everywhere.</w:t>
      </w:r>
    </w:p>
    <w:p>
      <w:pPr>
        <w:pStyle w:val="Heading3"/>
      </w:pPr>
      <w:r>
        <w:rPr>
          <w:rFonts w:ascii="Arial" w:cs="Arial" w:eastAsia="Arial" w:hAnsi="Arial"/>
          <w:b/>
          <w:bCs/>
          <w:sz w:val="24"/>
          <w:szCs w:val="24"/>
        </w:rPr>
        <w:t xml:space="preserve">Scale brings complexity</w:t>
      </w:r>
    </w:p>
    <w:p>
      <w:pPr>
        <w:spacing w:after="160"/>
      </w:pPr>
      <w:r>
        <w:rPr>
          <w:rFonts w:ascii="Arial" w:cs="Arial" w:eastAsia="Arial" w:hAnsi="Arial"/>
          <w:sz w:val="22"/>
          <w:szCs w:val="22"/>
        </w:rPr>
        <w:t xml:space="preserve">Retail banks serve millions of customers, each with different needs. Segmenting experience for different customer types, lifecycle stages, and risk profiles—without making the product feel fragmented—is a complex design problem.</w:t>
      </w:r>
    </w:p>
    <w:p>
      <w:r>
        <w:t xml:space="preserve"/>
      </w:r>
    </w:p>
    <w:p>
      <w:pPr>
        <w:pStyle w:val="Heading2"/>
      </w:pPr>
      <w:r>
        <w:rPr>
          <w:rFonts w:ascii="Arial" w:cs="Arial" w:eastAsia="Arial" w:hAnsi="Arial"/>
          <w:b/>
          <w:bCs/>
          <w:sz w:val="28"/>
          <w:szCs w:val="28"/>
        </w:rPr>
        <w:t xml:space="preserve">Our Banking UX Services</w:t>
      </w:r>
    </w:p>
    <w:p>
      <w:pPr>
        <w:pStyle w:val="Heading3"/>
      </w:pPr>
      <w:r>
        <w:rPr>
          <w:rFonts w:ascii="Arial" w:cs="Arial" w:eastAsia="Arial" w:hAnsi="Arial"/>
          <w:b/>
          <w:bCs/>
          <w:sz w:val="24"/>
          <w:szCs w:val="24"/>
        </w:rPr>
        <w:t xml:space="preserve">Digital banking transformation</w:t>
      </w:r>
    </w:p>
    <w:p>
      <w:pPr>
        <w:spacing w:after="160"/>
      </w:pPr>
      <w:r>
        <w:rPr>
          <w:rFonts w:ascii="Arial" w:cs="Arial" w:eastAsia="Arial" w:hAnsi="Arial"/>
          <w:sz w:val="22"/>
          <w:szCs w:val="22"/>
        </w:rPr>
        <w:t xml:space="preserve">We audit your current banking experience—app, web, branch—and design a multi-channel strategy that meets customer expectations without breaking your backend. We map customer journeys, identify friction, and redesign core workflows.</w:t>
      </w:r>
    </w:p>
    <w:p>
      <w:pPr>
        <w:pStyle w:val="Heading3"/>
      </w:pPr>
      <w:r>
        <w:rPr>
          <w:rFonts w:ascii="Arial" w:cs="Arial" w:eastAsia="Arial" w:hAnsi="Arial"/>
          <w:b/>
          <w:bCs/>
          <w:sz w:val="24"/>
          <w:szCs w:val="24"/>
        </w:rPr>
        <w:t xml:space="preserve">Mobile banking app redesign</w:t>
      </w:r>
    </w:p>
    <w:p>
      <w:pPr>
        <w:spacing w:after="160"/>
      </w:pPr>
      <w:r>
        <w:rPr>
          <w:rFonts w:ascii="Arial" w:cs="Arial" w:eastAsia="Arial" w:hAnsi="Arial"/>
          <w:sz w:val="22"/>
          <w:szCs w:val="22"/>
        </w:rPr>
        <w:t xml:space="preserve">Your banking app is often the main touchpoint for customers. We redesign for speed, clarity, and trustworthiness. Better onboarding, faster payments, clearer account management—and measurable adoption increases.</w:t>
      </w:r>
    </w:p>
    <w:p>
      <w:pPr>
        <w:pStyle w:val="Heading3"/>
      </w:pPr>
      <w:r>
        <w:rPr>
          <w:rFonts w:ascii="Arial" w:cs="Arial" w:eastAsia="Arial" w:hAnsi="Arial"/>
          <w:b/>
          <w:bCs/>
          <w:sz w:val="24"/>
          <w:szCs w:val="24"/>
        </w:rPr>
        <w:t xml:space="preserve">Onboarding and account opening</w:t>
      </w:r>
    </w:p>
    <w:p>
      <w:pPr>
        <w:spacing w:after="160"/>
      </w:pPr>
      <w:r>
        <w:rPr>
          <w:rFonts w:ascii="Arial" w:cs="Arial" w:eastAsia="Arial" w:hAnsi="Arial"/>
          <w:sz w:val="22"/>
          <w:szCs w:val="22"/>
        </w:rPr>
        <w:t xml:space="preserve">New customer acquisition is critical. We reduce onboarding friction—whether that's KYC complexity, document collection, or account activation. Faster, clearer onboarding means higher conversion and lower drop-off.</w:t>
      </w:r>
    </w:p>
    <w:p>
      <w:pPr>
        <w:pStyle w:val="Heading3"/>
      </w:pPr>
      <w:r>
        <w:rPr>
          <w:rFonts w:ascii="Arial" w:cs="Arial" w:eastAsia="Arial" w:hAnsi="Arial"/>
          <w:b/>
          <w:bCs/>
          <w:sz w:val="24"/>
          <w:szCs w:val="24"/>
        </w:rPr>
        <w:t xml:space="preserve">Payments and transfers</w:t>
      </w:r>
    </w:p>
    <w:p>
      <w:pPr>
        <w:spacing w:after="160"/>
      </w:pPr>
      <w:r>
        <w:rPr>
          <w:rFonts w:ascii="Arial" w:cs="Arial" w:eastAsia="Arial" w:hAnsi="Arial"/>
          <w:sz w:val="22"/>
          <w:szCs w:val="22"/>
        </w:rPr>
        <w:t xml:space="preserve">Payments are a core banking function. We redesign these journeys so customers feel confident moving money—whether that's domestic transfers, international payments, or bill payments.</w:t>
      </w:r>
    </w:p>
    <w:p>
      <w:pPr>
        <w:pStyle w:val="Heading3"/>
      </w:pPr>
      <w:r>
        <w:rPr>
          <w:rFonts w:ascii="Arial" w:cs="Arial" w:eastAsia="Arial" w:hAnsi="Arial"/>
          <w:b/>
          <w:bCs/>
          <w:sz w:val="24"/>
          <w:szCs w:val="24"/>
        </w:rPr>
        <w:t xml:space="preserve">Enterprise corporate banking platforms</w:t>
      </w:r>
    </w:p>
    <w:p>
      <w:pPr>
        <w:spacing w:after="160"/>
      </w:pPr>
      <w:r>
        <w:rPr>
          <w:rFonts w:ascii="Arial" w:cs="Arial" w:eastAsia="Arial" w:hAnsi="Arial"/>
          <w:sz w:val="22"/>
          <w:szCs w:val="22"/>
        </w:rPr>
        <w:t xml:space="preserve">Corporate clients have different needs: multi-user approval workflows, real-time reporting, integration with accounting systems. We design interfaces that serve corporate treasurers and CFOs.</w:t>
      </w:r>
    </w:p>
    <w:p>
      <w:pPr>
        <w:pStyle w:val="Heading3"/>
      </w:pPr>
      <w:r>
        <w:rPr>
          <w:rFonts w:ascii="Arial" w:cs="Arial" w:eastAsia="Arial" w:hAnsi="Arial"/>
          <w:b/>
          <w:bCs/>
          <w:sz w:val="24"/>
          <w:szCs w:val="24"/>
        </w:rPr>
        <w:t xml:space="preserve">CX and digital transformation strategy</w:t>
      </w:r>
    </w:p>
    <w:p>
      <w:pPr>
        <w:spacing w:after="160"/>
      </w:pPr>
      <w:r>
        <w:rPr>
          <w:rFonts w:ascii="Arial" w:cs="Arial" w:eastAsia="Arial" w:hAnsi="Arial"/>
          <w:sz w:val="22"/>
          <w:szCs w:val="22"/>
        </w:rPr>
        <w:t xml:space="preserve">We work with your leadership team to define banking UX strategy: channel priorities, customer segmentation, feature roadmap, and success metrics. Not just designing; shaping your digital future.</w:t>
      </w:r>
    </w:p>
    <w:p>
      <w:r>
        <w:t xml:space="preserve"/>
      </w:r>
    </w:p>
    <w:p>
      <w:pPr>
        <w:pStyle w:val="Heading2"/>
      </w:pPr>
      <w:r>
        <w:rPr>
          <w:rFonts w:ascii="Arial" w:cs="Arial" w:eastAsia="Arial" w:hAnsi="Arial"/>
          <w:b/>
          <w:bCs/>
          <w:sz w:val="28"/>
          <w:szCs w:val="28"/>
        </w:rPr>
        <w:t xml:space="preserve">Banking Journeys We Redesign</w:t>
      </w:r>
    </w:p>
    <w:p>
      <w:pPr>
        <w:pStyle w:val="ListParagraph"/>
        <w:numPr>
          <w:ilvl w:val="0"/>
          <w:numId w:val="2"/>
        </w:numPr>
        <w:spacing w:after="80"/>
      </w:pPr>
      <w:r>
        <w:rPr>
          <w:rFonts w:ascii="Arial" w:cs="Arial" w:eastAsia="Arial" w:hAnsi="Arial"/>
          <w:sz w:val="22"/>
          <w:szCs w:val="22"/>
        </w:rPr>
        <w:t xml:space="preserve">Account opening and KYC (Know Your Customer)</w:t>
      </w:r>
    </w:p>
    <w:p>
      <w:pPr>
        <w:pStyle w:val="ListParagraph"/>
        <w:numPr>
          <w:ilvl w:val="0"/>
          <w:numId w:val="2"/>
        </w:numPr>
        <w:spacing w:after="80"/>
      </w:pPr>
      <w:r>
        <w:rPr>
          <w:rFonts w:ascii="Arial" w:cs="Arial" w:eastAsia="Arial" w:hAnsi="Arial"/>
          <w:sz w:val="22"/>
          <w:szCs w:val="22"/>
        </w:rPr>
        <w:t xml:space="preserve">Mobile and web platform navigation</w:t>
      </w:r>
    </w:p>
    <w:p>
      <w:pPr>
        <w:pStyle w:val="ListParagraph"/>
        <w:numPr>
          <w:ilvl w:val="0"/>
          <w:numId w:val="2"/>
        </w:numPr>
        <w:spacing w:after="80"/>
      </w:pPr>
      <w:r>
        <w:rPr>
          <w:rFonts w:ascii="Arial" w:cs="Arial" w:eastAsia="Arial" w:hAnsi="Arial"/>
          <w:sz w:val="22"/>
          <w:szCs w:val="22"/>
        </w:rPr>
        <w:t xml:space="preserve">Payments, transfers, and bill pay</w:t>
      </w:r>
    </w:p>
    <w:p>
      <w:pPr>
        <w:pStyle w:val="ListParagraph"/>
        <w:numPr>
          <w:ilvl w:val="0"/>
          <w:numId w:val="2"/>
        </w:numPr>
        <w:spacing w:after="80"/>
      </w:pPr>
      <w:r>
        <w:rPr>
          <w:rFonts w:ascii="Arial" w:cs="Arial" w:eastAsia="Arial" w:hAnsi="Arial"/>
          <w:sz w:val="22"/>
          <w:szCs w:val="22"/>
        </w:rPr>
        <w:t xml:space="preserve">Account management and profile updates</w:t>
      </w:r>
    </w:p>
    <w:p>
      <w:pPr>
        <w:pStyle w:val="ListParagraph"/>
        <w:numPr>
          <w:ilvl w:val="0"/>
          <w:numId w:val="2"/>
        </w:numPr>
        <w:spacing w:after="80"/>
      </w:pPr>
      <w:r>
        <w:rPr>
          <w:rFonts w:ascii="Arial" w:cs="Arial" w:eastAsia="Arial" w:hAnsi="Arial"/>
          <w:sz w:val="22"/>
          <w:szCs w:val="22"/>
        </w:rPr>
        <w:t xml:space="preserve">Lending and credit applications</w:t>
      </w:r>
    </w:p>
    <w:p>
      <w:pPr>
        <w:pStyle w:val="ListParagraph"/>
        <w:numPr>
          <w:ilvl w:val="0"/>
          <w:numId w:val="2"/>
        </w:numPr>
        <w:spacing w:after="80"/>
      </w:pPr>
      <w:r>
        <w:rPr>
          <w:rFonts w:ascii="Arial" w:cs="Arial" w:eastAsia="Arial" w:hAnsi="Arial"/>
          <w:sz w:val="22"/>
          <w:szCs w:val="22"/>
        </w:rPr>
        <w:t xml:space="preserve">Fraud alerts and security management</w:t>
      </w:r>
    </w:p>
    <w:p>
      <w:pPr>
        <w:pStyle w:val="ListParagraph"/>
        <w:numPr>
          <w:ilvl w:val="0"/>
          <w:numId w:val="2"/>
        </w:numPr>
        <w:spacing w:after="80"/>
      </w:pPr>
      <w:r>
        <w:rPr>
          <w:rFonts w:ascii="Arial" w:cs="Arial" w:eastAsia="Arial" w:hAnsi="Arial"/>
          <w:sz w:val="22"/>
          <w:szCs w:val="22"/>
        </w:rPr>
        <w:t xml:space="preserve">Investment and savings products</w:t>
      </w:r>
    </w:p>
    <w:p>
      <w:pPr>
        <w:pStyle w:val="ListParagraph"/>
        <w:numPr>
          <w:ilvl w:val="0"/>
          <w:numId w:val="2"/>
        </w:numPr>
        <w:spacing w:after="80"/>
      </w:pPr>
      <w:r>
        <w:rPr>
          <w:rFonts w:ascii="Arial" w:cs="Arial" w:eastAsia="Arial" w:hAnsi="Arial"/>
          <w:sz w:val="22"/>
          <w:szCs w:val="22"/>
        </w:rPr>
        <w:t xml:space="preserve">Customer support and chat interfaces</w:t>
      </w:r>
    </w:p>
    <w:p>
      <w:r>
        <w:t xml:space="preserve"/>
      </w:r>
    </w:p>
    <w:p>
      <w:pPr>
        <w:pStyle w:val="Heading2"/>
      </w:pPr>
      <w:r>
        <w:rPr>
          <w:rFonts w:ascii="Arial" w:cs="Arial" w:eastAsia="Arial" w:hAnsi="Arial"/>
          <w:b/>
          <w:bCs/>
          <w:sz w:val="28"/>
          <w:szCs w:val="28"/>
        </w:rPr>
        <w:t xml:space="preserve">Common Banking UX Problems</w:t>
      </w:r>
    </w:p>
    <w:p>
      <w:pPr>
        <w:pStyle w:val="Heading3"/>
      </w:pPr>
      <w:r>
        <w:rPr>
          <w:rFonts w:ascii="Arial" w:cs="Arial" w:eastAsia="Arial" w:hAnsi="Arial"/>
          <w:b/>
          <w:bCs/>
          <w:sz w:val="24"/>
          <w:szCs w:val="24"/>
        </w:rPr>
        <w:t xml:space="preserve">Onboarding friction</w:t>
      </w:r>
    </w:p>
    <w:p>
      <w:pPr>
        <w:spacing w:after="160"/>
      </w:pPr>
      <w:r>
        <w:rPr>
          <w:rFonts w:ascii="Arial" w:cs="Arial" w:eastAsia="Arial" w:hAnsi="Arial"/>
          <w:sz w:val="22"/>
          <w:szCs w:val="22"/>
        </w:rPr>
        <w:t xml:space="preserve">Too many steps, unclear instructions, or confusing document requests send new customers away. We streamline onboarding without sacrificing compliance.</w:t>
      </w:r>
    </w:p>
    <w:p>
      <w:pPr>
        <w:pStyle w:val="Heading3"/>
      </w:pPr>
      <w:r>
        <w:rPr>
          <w:rFonts w:ascii="Arial" w:cs="Arial" w:eastAsia="Arial" w:hAnsi="Arial"/>
          <w:b/>
          <w:bCs/>
          <w:sz w:val="24"/>
          <w:szCs w:val="24"/>
        </w:rPr>
        <w:t xml:space="preserve">Mobile-first expectations vs. web-first legacy</w:t>
      </w:r>
    </w:p>
    <w:p>
      <w:pPr>
        <w:spacing w:after="160"/>
      </w:pPr>
      <w:r>
        <w:rPr>
          <w:rFonts w:ascii="Arial" w:cs="Arial" w:eastAsia="Arial" w:hAnsi="Arial"/>
          <w:sz w:val="22"/>
          <w:szCs w:val="22"/>
        </w:rPr>
        <w:t xml:space="preserve">Your mobile app is fast and modern, but the web platform feels dated. Or the opposite. We unify experience across channels so customers don't feel the gap.</w:t>
      </w:r>
    </w:p>
    <w:p>
      <w:pPr>
        <w:pStyle w:val="Heading3"/>
      </w:pPr>
      <w:r>
        <w:rPr>
          <w:rFonts w:ascii="Arial" w:cs="Arial" w:eastAsia="Arial" w:hAnsi="Arial"/>
          <w:b/>
          <w:bCs/>
          <w:sz w:val="24"/>
          <w:szCs w:val="24"/>
        </w:rPr>
        <w:t xml:space="preserve">Feature sprawl</w:t>
      </w:r>
    </w:p>
    <w:p>
      <w:pPr>
        <w:spacing w:after="160"/>
      </w:pPr>
      <w:r>
        <w:rPr>
          <w:rFonts w:ascii="Arial" w:cs="Arial" w:eastAsia="Arial" w:hAnsi="Arial"/>
          <w:sz w:val="22"/>
          <w:szCs w:val="22"/>
        </w:rPr>
        <w:t xml:space="preserve">Over years, more features get bolted on. Navigation becomes confusing. Customers can't find what they need. We simplify information architecture and prioritise features by user need.</w:t>
      </w:r>
    </w:p>
    <w:p>
      <w:pPr>
        <w:pStyle w:val="Heading3"/>
      </w:pPr>
      <w:r>
        <w:rPr>
          <w:rFonts w:ascii="Arial" w:cs="Arial" w:eastAsia="Arial" w:hAnsi="Arial"/>
          <w:b/>
          <w:bCs/>
          <w:sz w:val="24"/>
          <w:szCs w:val="24"/>
        </w:rPr>
        <w:t xml:space="preserve">Lack of real-time feedback</w:t>
      </w:r>
    </w:p>
    <w:p>
      <w:pPr>
        <w:spacing w:after="160"/>
      </w:pPr>
      <w:r>
        <w:rPr>
          <w:rFonts w:ascii="Arial" w:cs="Arial" w:eastAsia="Arial" w:hAnsi="Arial"/>
          <w:sz w:val="22"/>
          <w:szCs w:val="22"/>
        </w:rPr>
        <w:t xml:space="preserve">Customers don't know if their payment went through, their application is approved, or their account is locked. We design systems that give users clarity in real-time.</w:t>
      </w:r>
    </w:p>
    <w:p>
      <w:pPr>
        <w:pStyle w:val="Heading3"/>
      </w:pPr>
      <w:r>
        <w:rPr>
          <w:rFonts w:ascii="Arial" w:cs="Arial" w:eastAsia="Arial" w:hAnsi="Arial"/>
          <w:b/>
          <w:bCs/>
          <w:sz w:val="24"/>
          <w:szCs w:val="24"/>
        </w:rPr>
        <w:t xml:space="preserve">Legacy interfaces dragging down adoption</w:t>
      </w:r>
    </w:p>
    <w:p>
      <w:pPr>
        <w:spacing w:after="160"/>
      </w:pPr>
      <w:r>
        <w:rPr>
          <w:rFonts w:ascii="Arial" w:cs="Arial" w:eastAsia="Arial" w:hAnsi="Arial"/>
          <w:sz w:val="22"/>
          <w:szCs w:val="22"/>
        </w:rPr>
        <w:t xml:space="preserve">New corporate banking features are built but adoption lags because the interface feels clunky. Good design can unlock adoption of capabilities you've already invested in.</w:t>
      </w:r>
    </w:p>
    <w:p>
      <w:r>
        <w:t xml:space="preserve"/>
      </w:r>
    </w:p>
    <w:p>
      <w:pPr>
        <w:pStyle w:val="Heading2"/>
      </w:pPr>
      <w:r>
        <w:rPr>
          <w:rFonts w:ascii="Arial" w:cs="Arial" w:eastAsia="Arial" w:hAnsi="Arial"/>
          <w:b/>
          <w:bCs/>
          <w:sz w:val="28"/>
          <w:szCs w:val="28"/>
        </w:rPr>
        <w:t xml:space="preserve">Enterprise-Scale Delivery</w:t>
      </w:r>
    </w:p>
    <w:p>
      <w:pPr>
        <w:spacing w:after="160"/>
      </w:pPr>
      <w:r>
        <w:rPr>
          <w:rFonts w:ascii="Arial" w:cs="Arial" w:eastAsia="Arial" w:hAnsi="Arial"/>
          <w:sz w:val="22"/>
          <w:szCs w:val="22"/>
        </w:rPr>
        <w:t xml:space="preserve">Banking is complex at scale. We've delivered redesigns across retail and corporate channels, for millions of users. We work with your internal teams—product, engineering, compliance—to ensure designs are buildable, testable, and launchable.</w:t>
      </w:r>
    </w:p>
    <w:p>
      <w:pPr>
        <w:spacing w:after="160"/>
      </w:pPr>
      <w:r>
        <w:rPr>
          <w:rFonts w:ascii="Arial" w:cs="Arial" w:eastAsia="Arial" w:hAnsi="Arial"/>
          <w:sz w:val="22"/>
          <w:szCs w:val="22"/>
        </w:rPr>
        <w:t xml:space="preserve">We don't just hand over Figma files. We create design systems, component libraries, and handoff documentation that your team can evolve. We provide post-launch support to ensure launches are smooth and feedback loops are built in.</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FAQs</w:t>
      </w:r>
    </w:p>
    <w:p>
      <w:pPr>
        <w:pStyle w:val="Heading3"/>
      </w:pPr>
      <w:r>
        <w:rPr>
          <w:rFonts w:ascii="Arial" w:cs="Arial" w:eastAsia="Arial" w:hAnsi="Arial"/>
          <w:b/>
          <w:bCs/>
          <w:sz w:val="24"/>
          <w:szCs w:val="24"/>
        </w:rPr>
        <w:t xml:space="preserve">Have you worked with traditional banks?</w:t>
      </w:r>
    </w:p>
    <w:p>
      <w:pPr>
        <w:spacing w:after="160"/>
      </w:pPr>
      <w:r>
        <w:rPr>
          <w:rFonts w:ascii="Arial" w:cs="Arial" w:eastAsia="Arial" w:hAnsi="Arial"/>
          <w:sz w:val="22"/>
          <w:szCs w:val="22"/>
        </w:rPr>
        <w:t xml:space="preserve">Yes. We've helped retail and corporate banks redesign customer journeys, modernise legacy interfaces, and support digital transformation programmes. We understand the constraints of traditional banking—legacy systems, regulatory requirements, risk-averse culture—and how to navigate them.</w:t>
      </w:r>
    </w:p>
    <w:p>
      <w:pPr>
        <w:pStyle w:val="Heading3"/>
      </w:pPr>
      <w:r>
        <w:rPr>
          <w:rFonts w:ascii="Arial" w:cs="Arial" w:eastAsia="Arial" w:hAnsi="Arial"/>
          <w:b/>
          <w:bCs/>
          <w:sz w:val="24"/>
          <w:szCs w:val="24"/>
        </w:rPr>
        <w:t xml:space="preserve">How do you handle regulatory requirements in banking UX?</w:t>
      </w:r>
    </w:p>
    <w:p>
      <w:pPr>
        <w:spacing w:after="160"/>
      </w:pPr>
      <w:r>
        <w:rPr>
          <w:rFonts w:ascii="Arial" w:cs="Arial" w:eastAsia="Arial" w:hAnsi="Arial"/>
          <w:sz w:val="22"/>
          <w:szCs w:val="22"/>
        </w:rPr>
        <w:t xml:space="preserve">Regulation isn't a constraint we work around; it's a design principle we build in. We're familiar with banking compliance requirements—KYC, AML, PSD2, and others—and we design interfaces that meet these requirements while keeping user experience smooth.</w:t>
      </w:r>
    </w:p>
    <w:p>
      <w:pPr>
        <w:pStyle w:val="Heading3"/>
      </w:pPr>
      <w:r>
        <w:rPr>
          <w:rFonts w:ascii="Arial" w:cs="Arial" w:eastAsia="Arial" w:hAnsi="Arial"/>
          <w:b/>
          <w:bCs/>
          <w:sz w:val="24"/>
          <w:szCs w:val="24"/>
        </w:rPr>
        <w:t xml:space="preserve">Can you redesign onboarding without breaking our backend systems?</w:t>
      </w:r>
    </w:p>
    <w:p>
      <w:pPr>
        <w:spacing w:after="160"/>
      </w:pPr>
      <w:r>
        <w:rPr>
          <w:rFonts w:ascii="Arial" w:cs="Arial" w:eastAsia="Arial" w:hAnsi="Arial"/>
          <w:sz w:val="22"/>
          <w:szCs w:val="22"/>
        </w:rPr>
        <w:t xml:space="preserve">Yes. We design front-end experiences that work *with* your legacy backend. We map your technical constraints and design flows that don't require overnight backend changes. Phased implementation is always possible.</w:t>
      </w:r>
    </w:p>
    <w:p>
      <w:pPr>
        <w:pStyle w:val="Heading3"/>
      </w:pPr>
      <w:r>
        <w:rPr>
          <w:rFonts w:ascii="Arial" w:cs="Arial" w:eastAsia="Arial" w:hAnsi="Arial"/>
          <w:b/>
          <w:bCs/>
          <w:sz w:val="24"/>
          <w:szCs w:val="24"/>
        </w:rPr>
        <w:t xml:space="preserve">How long does a banking UX redesign take?</w:t>
      </w:r>
    </w:p>
    <w:p>
      <w:pPr>
        <w:spacing w:after="160"/>
      </w:pPr>
      <w:r>
        <w:rPr>
          <w:rFonts w:ascii="Arial" w:cs="Arial" w:eastAsia="Arial" w:hAnsi="Arial"/>
          <w:sz w:val="22"/>
          <w:szCs w:val="22"/>
        </w:rPr>
        <w:t xml:space="preserve">Depends on scope. An audit and strategy: 4–6 weeks. A mobile app redesign: 3–4 months. A full multi-channel banking platform redesign: 6–9 months. We'll scope this once we understand your challenge.</w:t>
      </w:r>
    </w:p>
    <w:p>
      <w:pPr>
        <w:pStyle w:val="Heading3"/>
      </w:pPr>
      <w:r>
        <w:rPr>
          <w:rFonts w:ascii="Arial" w:cs="Arial" w:eastAsia="Arial" w:hAnsi="Arial"/>
          <w:b/>
          <w:bCs/>
          <w:sz w:val="24"/>
          <w:szCs w:val="24"/>
        </w:rPr>
        <w:t xml:space="preserve">What kind of adoption lift can we expect?</w:t>
      </w:r>
    </w:p>
    <w:p>
      <w:pPr>
        <w:spacing w:after="160"/>
      </w:pPr>
      <w:r>
        <w:rPr>
          <w:rFonts w:ascii="Arial" w:cs="Arial" w:eastAsia="Arial" w:hAnsi="Arial"/>
          <w:sz w:val="22"/>
          <w:szCs w:val="22"/>
        </w:rPr>
        <w:t xml:space="preserve">We've seen 25–40% improvement in feature adoption after redesigns, and 15–30% improvement in task completion time. We measure success through analytics: session time, task success rate, support ticket reduction, and user satisfaction. Your baseline will determine what's realistic.</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transform your banking UX?</w:t>
      </w:r>
    </w:p>
    <w:p>
      <w:pPr>
        <w:spacing w:after="160"/>
      </w:pPr>
      <w:r>
        <w:rPr>
          <w:rFonts w:ascii="Arial" w:cs="Arial" w:eastAsia="Arial" w:hAnsi="Arial"/>
          <w:sz w:val="22"/>
          <w:szCs w:val="22"/>
        </w:rPr>
        <w:t xml:space="preserve">Let's discuss your digital banking challenge. We'll review your current experience and outline how we can help.</w:t>
      </w:r>
    </w:p>
    <w:p>
      <w:pPr>
        <w:spacing w:after="100"/>
      </w:pPr>
      <w:hyperlink w:history="1" r:id="rId6e02snjdtmo-drqw0hyny">
        <w:r>
          <w:rPr>
            <w:rStyle w:val="Hyperlink"/>
            <w:rFonts w:ascii="Arial" w:cs="Arial" w:eastAsia="Arial" w:hAnsi="Arial"/>
            <w:sz w:val="22"/>
            <w:szCs w:val="22"/>
          </w:rPr>
          <w:t xml:space="preserve">Book a free strategy call</w:t>
        </w:r>
      </w:hyperlink>
    </w:p>
    <w:p>
      <w:r>
        <w:t xml:space="preserve"/>
      </w:r>
    </w:p>
    <w:p>
      <w:pPr>
        <w:pStyle w:val="Heading3"/>
      </w:pPr>
      <w:r>
        <w:rPr>
          <w:rFonts w:ascii="Arial" w:cs="Arial" w:eastAsia="Arial" w:hAnsi="Arial"/>
          <w:b/>
          <w:bCs/>
          <w:sz w:val="24"/>
          <w:szCs w:val="24"/>
        </w:rPr>
        <w:t xml:space="preserve">Internal links</w:t>
      </w:r>
    </w:p>
    <w:p>
      <w:pPr>
        <w:pStyle w:val="ListParagraph"/>
        <w:numPr>
          <w:ilvl w:val="0"/>
          <w:numId w:val="2"/>
        </w:numPr>
        <w:spacing w:after="80"/>
      </w:pPr>
      <w:r>
        <w:rPr>
          <w:rFonts w:ascii="Arial" w:cs="Arial" w:eastAsia="Arial" w:hAnsi="Arial"/>
          <w:sz w:val="22"/>
          <w:szCs w:val="22"/>
        </w:rPr>
        <w:t xml:space="preserve">Financial Services UX Design</w:t>
      </w:r>
    </w:p>
    <w:p>
      <w:pPr>
        <w:pStyle w:val="ListParagraph"/>
        <w:numPr>
          <w:ilvl w:val="0"/>
          <w:numId w:val="2"/>
        </w:numPr>
        <w:spacing w:after="80"/>
      </w:pPr>
      <w:r>
        <w:rPr>
          <w:rFonts w:ascii="Arial" w:cs="Arial" w:eastAsia="Arial" w:hAnsi="Arial"/>
          <w:sz w:val="22"/>
          <w:szCs w:val="22"/>
        </w:rPr>
        <w:t xml:space="preserve">Enterprise UX</w:t>
      </w:r>
    </w:p>
    <w:p>
      <w:pPr>
        <w:pStyle w:val="ListParagraph"/>
        <w:numPr>
          <w:ilvl w:val="0"/>
          <w:numId w:val="2"/>
        </w:numPr>
        <w:spacing w:after="80"/>
      </w:pPr>
      <w:r>
        <w:rPr>
          <w:rFonts w:ascii="Arial" w:cs="Arial" w:eastAsia="Arial" w:hAnsi="Arial"/>
          <w:sz w:val="22"/>
          <w:szCs w:val="22"/>
        </w:rPr>
        <w:t xml:space="preserve">UX Research</w:t>
      </w:r>
    </w:p>
    <w:p>
      <w:pPr>
        <w:pStyle w:val="ListParagraph"/>
        <w:numPr>
          <w:ilvl w:val="0"/>
          <w:numId w:val="2"/>
        </w:numPr>
        <w:spacing w:after="80"/>
      </w:pPr>
      <w:r>
        <w:rPr>
          <w:rFonts w:ascii="Arial" w:cs="Arial" w:eastAsia="Arial" w:hAnsi="Arial"/>
          <w:sz w:val="22"/>
          <w:szCs w:val="22"/>
        </w:rPr>
        <w:t xml:space="preserve">Design Systems</w:t>
      </w:r>
    </w:p>
    <w:p>
      <w:pPr>
        <w:pStyle w:val="Heading3"/>
      </w:pPr>
      <w:r>
        <w:rPr>
          <w:rFonts w:ascii="Arial" w:cs="Arial" w:eastAsia="Arial" w:hAnsi="Arial"/>
          <w:b/>
          <w:bCs/>
          <w:sz w:val="24"/>
          <w:szCs w:val="24"/>
        </w:rPr>
        <w:t xml:space="preserve">Image notes</w:t>
      </w:r>
    </w:p>
    <w:p>
      <w:pPr>
        <w:pStyle w:val="ListParagraph"/>
        <w:numPr>
          <w:ilvl w:val="0"/>
          <w:numId w:val="2"/>
        </w:numPr>
        <w:spacing w:after="80"/>
      </w:pPr>
      <w:r>
        <w:rPr>
          <w:rFonts w:ascii="Arial" w:cs="Arial" w:eastAsia="Arial" w:hAnsi="Arial"/>
          <w:sz w:val="22"/>
          <w:szCs w:val="22"/>
        </w:rPr>
        <w:t xml:space="preserve">Hero: mobile banking app showing account overview</w:t>
      </w:r>
    </w:p>
    <w:p>
      <w:pPr>
        <w:pStyle w:val="ListParagraph"/>
        <w:numPr>
          <w:ilvl w:val="0"/>
          <w:numId w:val="2"/>
        </w:numPr>
        <w:spacing w:after="80"/>
      </w:pPr>
      <w:r>
        <w:rPr>
          <w:rFonts w:ascii="Arial" w:cs="Arial" w:eastAsia="Arial" w:hAnsi="Arial"/>
          <w:sz w:val="22"/>
          <w:szCs w:val="22"/>
        </w:rPr>
        <w:t xml:space="preserve">Section image: onboarding flow showing KYC steps</w:t>
      </w:r>
    </w:p>
    <w:p>
      <w:pPr>
        <w:pStyle w:val="ListParagraph"/>
        <w:numPr>
          <w:ilvl w:val="0"/>
          <w:numId w:val="2"/>
        </w:numPr>
        <w:spacing w:after="80"/>
      </w:pPr>
      <w:r>
        <w:rPr>
          <w:rFonts w:ascii="Arial" w:cs="Arial" w:eastAsia="Arial" w:hAnsi="Arial"/>
          <w:sz w:val="22"/>
          <w:szCs w:val="22"/>
        </w:rPr>
        <w:t xml:space="preserve">Section image: corporate banking dashboard showing payment workflows</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tradition bank case study AFTER.png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Banking UX consulting — Tradition Capital Bank analytics platform redesign result</w:t>
      </w:r>
    </w:p>
    <w:p>
      <w:pPr>
        <w:spacing w:after="160"/>
      </w:pPr>
      <w:r>
        <w:rPr>
          <w:b/>
          <w:sz w:val="22"/>
        </w:rPr>
        <w:t xml:space="preserve">Notes:  </w:t>
      </w:r>
      <w:r>
        <w:rPr>
          <w:sz w:val="22"/>
          <w:color w:val="555555"/>
        </w:rPr>
        <w:t>Crop to 1440×600. Extremely relevant hero for banking audience.</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tradition bank case study before.png</w:t>
      </w:r>
    </w:p>
    <w:p>
      <w:pPr>
        <w:spacing w:after="80"/>
      </w:pPr>
      <w:r>
        <w:rPr>
          <w:b/>
          <w:sz w:val="22"/>
        </w:rPr>
        <w:t xml:space="preserve">Placement:  </w:t>
      </w:r>
      <w:r>
        <w:rPr>
          <w:sz w:val="22"/>
        </w:rPr>
        <w:t>BODY — "Before &amp; after" case study section</w:t>
      </w:r>
    </w:p>
    <w:p>
      <w:pPr>
        <w:spacing w:after="80"/>
      </w:pPr>
      <w:r>
        <w:rPr>
          <w:b/>
          <w:sz w:val="22"/>
        </w:rPr>
        <w:t xml:space="preserve">Alt text:  </w:t>
      </w:r>
      <w:r>
        <w:rPr>
          <w:sz w:val="22"/>
          <w:i/>
        </w:rPr>
        <w:t>Tradition Capital Bank legacy platform before UX redesign — complex, low-usability interface</w:t>
      </w:r>
    </w:p>
    <w:p>
      <w:pPr>
        <w:spacing w:after="160"/>
      </w:pPr>
      <w:r>
        <w:rPr>
          <w:b/>
          <w:sz w:val="22"/>
        </w:rPr>
        <w:t xml:space="preserve">Notes:  </w:t>
      </w:r>
      <w:r>
        <w:rPr>
          <w:sz w:val="22"/>
          <w:color w:val="555555"/>
        </w:rPr>
        <w:t>760×480. Always pair with the AFTER image for contrast.</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financial-services-ux-design - mockup.png</w:t>
      </w:r>
    </w:p>
    <w:p>
      <w:pPr>
        <w:spacing w:after="80"/>
      </w:pPr>
      <w:r>
        <w:rPr>
          <w:b/>
          <w:sz w:val="22"/>
        </w:rPr>
        <w:t xml:space="preserve">Placement:  </w:t>
      </w:r>
      <w:r>
        <w:rPr>
          <w:sz w:val="22"/>
        </w:rPr>
        <w:t>BODY — "Banking dashboard design" section</w:t>
      </w:r>
    </w:p>
    <w:p>
      <w:pPr>
        <w:spacing w:after="80"/>
      </w:pPr>
      <w:r>
        <w:rPr>
          <w:b/>
          <w:sz w:val="22"/>
        </w:rPr>
        <w:t xml:space="preserve">Alt text:  </w:t>
      </w:r>
      <w:r>
        <w:rPr>
          <w:sz w:val="22"/>
          <w:i/>
        </w:rPr>
        <w:t>Banking UX design mockup — clean account overview and transaction management interface</w:t>
      </w:r>
    </w:p>
    <w:p>
      <w:pPr>
        <w:spacing w:after="160"/>
      </w:pPr>
      <w:r>
        <w:rPr>
          <w:b/>
          <w:sz w:val="22"/>
        </w:rPr>
        <w:t xml:space="preserve">Notes:  </w:t>
      </w:r>
      <w:r>
        <w:rPr>
          <w:sz w:val="22"/>
          <w:color w:val="555555"/>
        </w:rPr>
        <w:t>800×500.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e02snjdtmo-drqw0hyny"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2026-03-15T10:52:38.175Z</dcterms:created>
  <dcterms:modified xsi:type="dcterms:W3CDTF">2026-03-15T10:52:38.175Z</dcterms:modified>
</cp:coreProperties>
</file>

<file path=docProps/custom.xml><?xml version="1.0" encoding="utf-8"?>
<Properties xmlns="http://schemas.openxmlformats.org/officeDocument/2006/custom-properties" xmlns:vt="http://schemas.openxmlformats.org/officeDocument/2006/docPropsVTypes"/>
</file>