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Arial" w:hAnsi="Arial" w:eastAsia="Arial"/>
          <w:b/>
          <w:i w:val="0"/>
          <w:sz w:val="24"/>
        </w:rPr>
        <w:t>Vena Vitals Website Strategy Document</w:t>
      </w:r>
    </w:p>
    <w:p>
      <w:pPr>
        <w:spacing w:before="0" w:after="120" w:line="259" w:lineRule="auto"/>
      </w:pPr>
      <w:r>
        <w:rPr>
          <w:rFonts w:ascii="Arial" w:hAnsi="Arial" w:eastAsia="Arial"/>
          <w:b w:val="0"/>
          <w:i w:val="0"/>
          <w:sz w:val="16"/>
        </w:rPr>
        <w:t>Organized website content, target audiences, page planning notes, and review checklist.</w:t>
      </w:r>
    </w:p>
    <w:p>
      <w:pPr>
        <w:spacing w:before="200" w:after="80" w:line="259" w:lineRule="auto"/>
      </w:pPr>
      <w:r>
        <w:rPr>
          <w:rFonts w:ascii="Arial" w:hAnsi="Arial" w:eastAsia="Arial"/>
          <w:b/>
          <w:i w:val="0"/>
          <w:sz w:val="22"/>
        </w:rPr>
        <w:t>Document Notes</w:t>
      </w:r>
    </w:p>
    <w:tbl>
      <w:tblPr>
        <w:tblW w:type="dxa" w:w="9360"/>
        <w:jc w:val="left"/>
        <w:tblLayout w:type="fixed"/>
        <w:tblLook w:firstColumn="1" w:firstRow="1" w:lastColumn="0" w:lastRow="0" w:noHBand="0" w:noVBand="1" w:val="04A0"/>
      </w:tblPr>
      <w:tblGrid>
        <w:gridCol w:w="4680"/>
        <w:gridCol w:w="4680"/>
      </w:tblGrid>
      <w:tr>
        <w:trPr>
          <w:cantSplit/>
          <w:tblHeader w:val="true"/>
        </w:trPr>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Item</w:t>
            </w:r>
          </w:p>
        </w:tc>
        <w:tc>
          <w:tcPr>
            <w:tcW w:type="dxa" w:w="7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Document purpose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Organize website content, target audiences, and content priorities for the Vena Vitals marketing site.</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Source material</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OR deck, readable figures, UI screens, charts, logos, and audience planning notes.</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use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Website planning, copywriting, design direction, and internal review.</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Review needed</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Items marked [VERIFY] need team, legal, clinical, or regulatory confirmation before publishing.</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note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the 510(k) pending disclaimer on every page.</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Style note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Clinical-grade, evidence-first, simple, clear, and credible.</w:t>
            </w:r>
          </w:p>
        </w:tc>
      </w:tr>
    </w:tbl>
    <w:p>
      <w:pPr>
        <w:spacing w:before="0" w:after="40" w:line="259" w:lineRule="auto"/>
      </w:pPr>
    </w:p>
    <w:p>
      <w:pPr>
        <w:spacing w:before="200" w:after="80" w:line="259" w:lineRule="auto"/>
      </w:pPr>
      <w:r>
        <w:rPr>
          <w:rFonts w:ascii="Arial" w:hAnsi="Arial" w:eastAsia="Arial"/>
          <w:b/>
          <w:i w:val="0"/>
          <w:sz w:val="22"/>
        </w:rPr>
        <w:t>Section 1: Target Audiences</w:t>
      </w:r>
    </w:p>
    <w:p>
      <w:pPr>
        <w:spacing w:before="160" w:after="60" w:line="259" w:lineRule="auto"/>
      </w:pPr>
      <w:r>
        <w:rPr>
          <w:rFonts w:ascii="Arial" w:hAnsi="Arial" w:eastAsia="Arial"/>
          <w:b/>
          <w:i w:val="0"/>
          <w:sz w:val="18"/>
        </w:rPr>
        <w:t>Audience Priority Summary</w:t>
      </w:r>
    </w:p>
    <w:tbl>
      <w:tblPr>
        <w:tblW w:type="dxa" w:w="9360"/>
        <w:jc w:val="left"/>
        <w:tblLayout w:type="fixed"/>
        <w:tblLook w:firstColumn="1" w:firstRow="1" w:lastColumn="0" w:lastRow="0" w:noHBand="0" w:noVBand="1" w:val="04A0"/>
      </w:tblPr>
      <w:tblGrid>
        <w:gridCol w:w="2340"/>
        <w:gridCol w:w="2340"/>
        <w:gridCol w:w="2340"/>
        <w:gridCol w:w="2340"/>
      </w:tblGrid>
      <w:tr>
        <w:trPr>
          <w:cantSplit/>
          <w:tblHeader w:val="true"/>
        </w:trPr>
        <w:tc>
          <w:tcPr>
            <w:tcW w:type="dxa" w:w="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Priority</w:t>
            </w:r>
          </w:p>
        </w:tc>
        <w:tc>
          <w:tcPr>
            <w:tcW w:type="dxa" w:w="3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Audience</w:t>
            </w:r>
          </w:p>
        </w:tc>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Role On Website</w:t>
            </w:r>
          </w:p>
        </w:tc>
        <w:tc>
          <w:tcPr>
            <w:tcW w:type="dxa" w:w="32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Main Goal</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Hospital Administrators and Health-System Decision Makers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Understand value, evidence, regulatory status, economics, and how to start an evaluation.</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Anesthesiologists, Intensivists, and Perioperative Clinicians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champion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Evaluate how the device works, how accurate it is, and whether it fits clinical workflow.</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3</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Consumers and Patients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Deprioritized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Get a basic status explanation only.</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Investors, talent, researchers, press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 audiences</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Find credibility, company information, collaboration paths, and press materials.</w:t>
            </w:r>
          </w:p>
        </w:tc>
      </w:tr>
    </w:tbl>
    <w:p>
      <w:pPr>
        <w:spacing w:before="0" w:after="40" w:line="259" w:lineRule="auto"/>
      </w:pPr>
    </w:p>
    <w:p>
      <w:pPr>
        <w:spacing w:before="160" w:after="60" w:line="259" w:lineRule="auto"/>
      </w:pPr>
      <w:r>
        <w:rPr>
          <w:rFonts w:ascii="Arial" w:hAnsi="Arial" w:eastAsia="Arial"/>
          <w:b/>
          <w:i w:val="0"/>
          <w:sz w:val="18"/>
        </w:rPr>
        <w:t>Priority 1: Hospital Administrators and Health-System Decision Makers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they are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VPs of perioperative services, ICU or OR directors, supply chain teams, value-analysis committee members, CMIOs, CFO-adjacent buyers.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They may arrive during field research or an active purchase evaluation.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Main website job</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 them quickly understand what Vena Vitals does, why it matters, whether it is credible, and how to begin evaluation.</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This audience drives the homepage, navigation, proof points, and CTA.</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they ask first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does this device do? What does it replace or augment? Is it for arterial lines, cuffs, or both?</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Answer in plain language on the homepage.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it FDA-cleared? What is the current regulatory status?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State clearly and honestly.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there clinical evidence from credible institutions?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Link directly to Clinical Evidence 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Economic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does it cost? What is the ROI? Can it reduce complications, nursing time, or consumables?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an economic case section or downloadable one-pager.</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Social proof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else is using it? Are there pilot hospitals or academic partners?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approved logos, pilots, and partners only.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Action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do I talk to a human, get a demo, or start an evaluation?</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 should be Request a Demo or Talk to Our Team.</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Tone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Confident, evidence-first, clinical, and business-aware.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hype and unverifiable claims.</w:t>
            </w:r>
          </w:p>
        </w:tc>
      </w:tr>
    </w:tbl>
    <w:p>
      <w:pPr>
        <w:spacing w:before="0" w:after="40" w:line="259" w:lineRule="auto"/>
      </w:pPr>
    </w:p>
    <w:p>
      <w:pPr>
        <w:spacing w:before="160" w:after="60" w:line="259" w:lineRule="auto"/>
      </w:pPr>
      <w:r>
        <w:rPr>
          <w:rFonts w:ascii="Arial" w:hAnsi="Arial" w:eastAsia="Arial"/>
          <w:b/>
          <w:i w:val="0"/>
          <w:sz w:val="18"/>
        </w:rPr>
        <w:t>Content Needed For Hospital Administrators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Item</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Purpose</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Plain-language value proposition</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clinical and economic value quickly.</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in first 60 seconds.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page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validation studies, accuracy data, publications, and comparisons.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Should be easy to scan.</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status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Builds trust by being clear and honest.</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overclaim.</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Economic case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internal buying conversations.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cost of hypotension, complications, workflow savings, and consumables if available.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one-pager</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admins circulate the case internally.</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Admins often sell internally on the company's behalf.</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Partner or pilot path</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Makes next step obvious.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demo request or evaluation form.</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Credibility section</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team, advisors, partners, funding, and press.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approved logos and names.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assets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 sheet, evidence summary, white paper.</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Helpful for value-analysis committees.</w:t>
            </w:r>
          </w:p>
        </w:tc>
      </w:tr>
    </w:tbl>
    <w:p>
      <w:pPr>
        <w:spacing w:before="0" w:after="40" w:line="259" w:lineRule="auto"/>
      </w:pPr>
    </w:p>
    <w:p>
      <w:pPr>
        <w:spacing w:before="160" w:after="60" w:line="259" w:lineRule="auto"/>
      </w:pPr>
      <w:r>
        <w:rPr>
          <w:rFonts w:ascii="Arial" w:hAnsi="Arial" w:eastAsia="Arial"/>
          <w:b/>
          <w:i w:val="0"/>
          <w:sz w:val="18"/>
        </w:rPr>
        <w:t>Priority 2: Anesthesiologists, Intensivists, and Perioperative Clinicians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they are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end users and internal champions.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Often influence hospital administrators.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Main website job</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Prove the device is technically credible, accurate, useful, and workflow-compatible.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They are skeptical, data-literate, and time-poor.</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does it work? What is the sensor principle? Where is it placed?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page should have real depth.</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Accuracy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accurate is it versus arterial line?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 validation methodology and data.</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expectation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Bland-Altman, AAMI or ISO 81060 compliance, validation methodology.</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if available.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Signal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Does it provide beat to beat waveform or intermittent values? What is the latency?</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to specs table.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Workflow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time, interference, monitor integration, alarms.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workflow visuals and device-in-use content.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Patient population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ICU, ED, obesity, arrhythmia, vasopressors.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State what has been tested and what has not.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Investigator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are the clinical investigators?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Named investigators transfer credibility.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Tone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Technical, precise, citation-backed.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dumb it down.</w:t>
            </w:r>
          </w:p>
        </w:tc>
      </w:tr>
    </w:tbl>
    <w:p>
      <w:pPr>
        <w:spacing w:before="0" w:after="40" w:line="259" w:lineRule="auto"/>
      </w:pPr>
    </w:p>
    <w:p>
      <w:pPr>
        <w:spacing w:before="160" w:after="60" w:line="259" w:lineRule="auto"/>
      </w:pPr>
      <w:r>
        <w:rPr>
          <w:rFonts w:ascii="Arial" w:hAnsi="Arial" w:eastAsia="Arial"/>
          <w:b/>
          <w:i w:val="0"/>
          <w:sz w:val="18"/>
        </w:rPr>
        <w:t>Content Needed For Clinicians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Item</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Purpose</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page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sensor principle, placement, and signal.</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simple overview at top, deeper technical detail below.</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evidence library</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Central home for publications, abstracts, posters, and conference talks.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 filterable if possible.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PDF access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Lets clinicians review original evidence.</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PDFs where allowed.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Specs table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accuracy, sample rate, range, placement, and reuse model.</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precise and citation-backed.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Workflow content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device on patient in real setting.</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photos or video if available.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Named advisors and investigators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Builds clinical trust.</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credentials and institutions if approved.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Participation path</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Allows clinicians to join trials or early access.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CTA can be Clinical Trial Interest or Collaborate.</w:t>
            </w:r>
          </w:p>
        </w:tc>
      </w:tr>
    </w:tbl>
    <w:p>
      <w:pPr>
        <w:spacing w:before="0" w:after="40" w:line="259" w:lineRule="auto"/>
      </w:pPr>
    </w:p>
    <w:p>
      <w:pPr>
        <w:spacing w:before="160" w:after="60" w:line="259" w:lineRule="auto"/>
      </w:pPr>
      <w:r>
        <w:rPr>
          <w:rFonts w:ascii="Arial" w:hAnsi="Arial" w:eastAsia="Arial"/>
          <w:b/>
          <w:i w:val="0"/>
          <w:sz w:val="18"/>
        </w:rPr>
        <w:t>Priority 3: Consumers and Patients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Priority level</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Explicitly deprioritized.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 website is not a consumer product site.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Content allowed</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Short FAQ entry or one paragraph.</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limited.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Example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this available for home use?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Answer with a status statement.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Design implication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consumer-wellness look and language.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No lifestyle smartwatch imagery.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Language to avoid</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Track your health, wellness app, app-store style language.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clinical-grade positioning.</w:t>
            </w:r>
          </w:p>
        </w:tc>
      </w:tr>
    </w:tbl>
    <w:p>
      <w:pPr>
        <w:spacing w:before="0" w:after="40" w:line="259" w:lineRule="auto"/>
      </w:pPr>
    </w:p>
    <w:p>
      <w:pPr>
        <w:spacing w:before="160" w:after="60" w:line="259" w:lineRule="auto"/>
      </w:pPr>
      <w:r>
        <w:rPr>
          <w:rFonts w:ascii="Arial" w:hAnsi="Arial" w:eastAsia="Arial"/>
          <w:b/>
          <w:i w:val="0"/>
          <w:sz w:val="18"/>
        </w:rPr>
        <w:t>Secondary Audiences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Audience</w:t>
            </w:r>
          </w:p>
        </w:tc>
        <w:tc>
          <w:tcPr>
            <w:tcW w:type="dxa" w:w="4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How The Site Serves Them</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Investors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 About, Team, funding, milestones.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design the site primarily for them.</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Talent</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Careers page or Join Us link.</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simple unless recruiting is active.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Researchers and clinical trial sites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page and Collaborate CTA.</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secondary pathway.</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Newsroom, press kit, logo, boilerplate, leadership photos.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but not primary.</w:t>
            </w:r>
          </w:p>
        </w:tc>
      </w:tr>
    </w:tbl>
    <w:p>
      <w:pPr>
        <w:spacing w:before="0" w:after="40" w:line="259" w:lineRule="auto"/>
      </w:pPr>
    </w:p>
    <w:p>
      <w:pPr>
        <w:spacing w:before="160" w:after="60" w:line="259" w:lineRule="auto"/>
      </w:pPr>
      <w:r>
        <w:rPr>
          <w:rFonts w:ascii="Arial" w:hAnsi="Arial" w:eastAsia="Arial"/>
          <w:b/>
          <w:i w:val="0"/>
          <w:sz w:val="18"/>
        </w:rPr>
        <w:t>How Audience Priority Maps To The Site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Website Decision</w:t>
            </w:r>
          </w:p>
        </w:tc>
        <w:tc>
          <w:tcPr>
            <w:tcW w:type="dxa" w:w="4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Rule</w:t>
            </w:r>
          </w:p>
        </w:tc>
        <w:tc>
          <w:tcPr>
            <w:tcW w:type="dxa" w:w="28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Homepage hero</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for hospital administrators first.</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Say what it is, why it matters, proof, and CTA.</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navigation</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Clinical Evidence, For Hospitals or Partner With Us, About, News, Contact or Demo.</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nav clear and clinical.</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a Demo or Talk to Our Team.</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action comes first.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CTA</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See the Evidence.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 action comes second.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Reading level</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Homepage should be educated layperson level.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and Evidence pages can go deeper below the fold.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Imagery</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settings, real device, waveforms, and data.</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consumer lifestyle imagery.</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Brand feel</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Clinical-grade, evidence-first, precise.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No wellness aesthetics.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Content hierarchy</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value first, clinician proof second, consumer content minimal.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Higher-priority audience wins when there is conflict.</w:t>
            </w:r>
          </w:p>
        </w:tc>
      </w:tr>
    </w:tbl>
    <w:p>
      <w:pPr>
        <w:spacing w:before="0" w:after="40" w:line="259" w:lineRule="auto"/>
      </w:pPr>
    </w:p>
    <w:p>
      <w:pPr>
        <w:spacing w:before="200" w:after="80" w:line="259" w:lineRule="auto"/>
      </w:pPr>
      <w:r>
        <w:rPr>
          <w:rFonts w:ascii="Arial" w:hAnsi="Arial" w:eastAsia="Arial"/>
          <w:b/>
          <w:i w:val="0"/>
          <w:sz w:val="22"/>
        </w:rPr>
        <w:t>Section 2: Website Content From Clinical OR Deck</w:t>
      </w:r>
    </w:p>
    <w:p>
      <w:pPr>
        <w:spacing w:before="160" w:after="60" w:line="259" w:lineRule="auto"/>
      </w:pPr>
      <w:r>
        <w:rPr>
          <w:rFonts w:ascii="Arial" w:hAnsi="Arial" w:eastAsia="Arial"/>
          <w:b/>
          <w:i w:val="0"/>
          <w:sz w:val="18"/>
        </w:rPr>
        <w:t>Product And App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Live app display</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waveform, systolic, diastolic, MAP, heart rate.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continuous monitoring experience.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Example metrics shown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SYS 119, DIA 80, MAP 93, HR 73 bpm.</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if approved for public display.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Status indicators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Calibrated timestamp, Connected status.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Reinforces device readiness and connection.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flow</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Select patient palpability from 0+ to 4+, choose left or right foot, confirm detected signal, confirm Good Placement, calibrate.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for Product or Technology 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 controls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Pause Alarm, Reset Alarm, Connect Device, Place Device, Calibrate, Patient Info, Discharge Patient, Settings.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clinician workflow.</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Hardware shown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Capacitive sensor, elastic applanator strap, onboard PCB, Bluetooth, battery, IMU motion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for Technology page.</w:t>
            </w:r>
          </w:p>
        </w:tc>
      </w:tr>
    </w:tbl>
    <w:p>
      <w:pPr>
        <w:spacing w:before="0" w:after="40" w:line="259" w:lineRule="auto"/>
      </w:pPr>
    </w:p>
    <w:p>
      <w:pPr>
        <w:spacing w:before="160" w:after="60" w:line="259" w:lineRule="auto"/>
      </w:pPr>
      <w:r>
        <w:rPr>
          <w:rFonts w:ascii="Arial" w:hAnsi="Arial" w:eastAsia="Arial"/>
          <w:b/>
          <w:i w:val="0"/>
          <w:sz w:val="18"/>
        </w:rPr>
        <w:t>How The Technology Works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Step</w:t>
            </w:r>
          </w:p>
        </w:tc>
        <w:tc>
          <w:tcPr>
            <w:tcW w:type="dxa" w:w="56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Description</w:t>
            </w:r>
          </w:p>
        </w:tc>
        <w:tc>
          <w:tcPr>
            <w:tcW w:type="dxa" w:w="28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 soft sensor is strapped over the artery on the foot.</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Shown in placement visuals.</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Each pulse compresses micropillars inside the capacitive sensor.</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Core sensing principle.</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3</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Compression changes capacitance.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Converts physical pulse into signal.</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4</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Capacitance change becomes the pressure signal.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 simply on homepage, with more depth on Technology page.</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Beat to beat pressure streams over Bluetooth to the tablet app.</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Connects hardware to clinician-facing interface.</w:t>
            </w:r>
          </w:p>
        </w:tc>
      </w:tr>
    </w:tbl>
    <w:p>
      <w:pPr>
        <w:spacing w:before="0" w:after="40" w:line="259" w:lineRule="auto"/>
      </w:pPr>
    </w:p>
    <w:p>
      <w:pPr>
        <w:spacing w:before="160" w:after="60" w:line="259" w:lineRule="auto"/>
      </w:pPr>
      <w:r>
        <w:rPr>
          <w:rFonts w:ascii="Arial" w:hAnsi="Arial" w:eastAsia="Arial"/>
          <w:b/>
          <w:i w:val="0"/>
          <w:sz w:val="18"/>
        </w:rPr>
        <w:t>Technology Components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Component</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type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Soft capacitive pressure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Core technology.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layers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Micropillars, dielectric layer, air gap, conductive thin film, silicone elastomer.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for deeper technical section.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Circuit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Flexible printed circuit.</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wearable placement.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Electronics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battery, IMU motion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in specs table.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Placement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Over the artery, shown on the foot.</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Dorsalis pedis artery placement should be verified before publishing.</w:t>
            </w:r>
          </w:p>
        </w:tc>
      </w:tr>
    </w:tbl>
    <w:p>
      <w:pPr>
        <w:spacing w:before="0" w:after="40" w:line="259" w:lineRule="auto"/>
      </w:pPr>
    </w:p>
    <w:p>
      <w:pPr>
        <w:spacing w:before="160" w:after="60" w:line="259" w:lineRule="auto"/>
      </w:pPr>
      <w:r>
        <w:rPr>
          <w:rFonts w:ascii="Arial" w:hAnsi="Arial" w:eastAsia="Arial"/>
          <w:b/>
          <w:i w:val="0"/>
          <w:sz w:val="18"/>
        </w:rPr>
        <w:t>Clinical Evidence Summary</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Evidence Area</w:t>
            </w:r>
          </w:p>
        </w:tc>
        <w:tc>
          <w:tcPr>
            <w:tcW w:type="dxa" w:w="4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Conference</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Presented to IARS, the International Anesthesia Research Society.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citation when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Comparator</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Gold standard comparison.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Measurement</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Per patient mean absolute difference.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exact methodology language if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Summary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Roughly 3 to 6 mmHg systolic and 2 to 4 mmHg diastolic versus arterial line.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as study results, not cleared specs.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Chart takeaway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Tracks arterial line beat to beat over multi-hour cases.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clinician-facing proof point.</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Artifact takeaway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Remains continuous through arterial line artifact periods.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differentiator.</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Review needed</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 of site names, numbers, and charts].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 before publishing.</w:t>
            </w:r>
          </w:p>
        </w:tc>
      </w:tr>
    </w:tbl>
    <w:p>
      <w:pPr>
        <w:spacing w:before="0" w:after="40" w:line="259" w:lineRule="auto"/>
      </w:pPr>
    </w:p>
    <w:p>
      <w:pPr>
        <w:spacing w:before="160" w:after="60" w:line="259" w:lineRule="auto"/>
      </w:pPr>
      <w:r>
        <w:rPr>
          <w:rFonts w:ascii="Arial" w:hAnsi="Arial" w:eastAsia="Arial"/>
          <w:b/>
          <w:i w:val="0"/>
          <w:sz w:val="18"/>
        </w:rPr>
        <w:t>Accuracy Table</w:t>
      </w:r>
    </w:p>
    <w:tbl>
      <w:tblPr>
        <w:tblW w:type="dxa" w:w="9360"/>
        <w:jc w:val="left"/>
        <w:tblLayout w:type="fixed"/>
        <w:tblLook w:firstColumn="1" w:firstRow="1" w:lastColumn="0" w:lastRow="0" w:noHBand="0" w:noVBand="1" w:val="04A0"/>
      </w:tblPr>
      <w:tblGrid>
        <w:gridCol w:w="2340"/>
        <w:gridCol w:w="2340"/>
        <w:gridCol w:w="2340"/>
        <w:gridCol w:w="234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Patient Or Case</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Systolic Difference</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Diastolic Difference</w:t>
            </w:r>
          </w:p>
        </w:tc>
        <w:tc>
          <w:tcPr>
            <w:tcW w:type="dxa" w:w="2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310</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2.92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1.80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UVM 005</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5.11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4.15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UVM 006</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5.45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2.62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306</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5.50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2.79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311 Left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5.68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2.34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311 Right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5.22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2.81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bl>
    <w:p>
      <w:pPr>
        <w:spacing w:before="0" w:after="40" w:line="259" w:lineRule="auto"/>
      </w:pPr>
    </w:p>
    <w:p>
      <w:pPr>
        <w:spacing w:before="160" w:after="60" w:line="259" w:lineRule="auto"/>
      </w:pPr>
      <w:r>
        <w:rPr>
          <w:rFonts w:ascii="Arial" w:hAnsi="Arial" w:eastAsia="Arial"/>
          <w:b/>
          <w:i w:val="0"/>
          <w:sz w:val="18"/>
        </w:rPr>
        <w:t>Study Sites Shown</w:t>
      </w:r>
    </w:p>
    <w:tbl>
      <w:tblPr>
        <w:tblW w:type="dxa" w:w="9360"/>
        <w:jc w:val="left"/>
        <w:tblLayout w:type="fixed"/>
        <w:tblLook w:firstColumn="1" w:firstRow="1" w:lastColumn="0" w:lastRow="0" w:noHBand="0" w:noVBand="1" w:val="04A0"/>
      </w:tblPr>
      <w:tblGrid>
        <w:gridCol w:w="4680"/>
        <w:gridCol w:w="4680"/>
      </w:tblGrid>
      <w:tr>
        <w:trPr>
          <w:cantSplit/>
          <w:tblHeader w:val="true"/>
        </w:trPr>
        <w:tc>
          <w:tcPr>
            <w:tcW w:type="dxa" w:w="4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Study Site</w:t>
            </w:r>
          </w:p>
        </w:tc>
        <w:tc>
          <w:tcPr>
            <w:tcW w:type="dxa" w:w="5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 Irvine</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Henry Ford Health</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University of Vermont Medical Center</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Arkansas Heart Hospital</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UCSF</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Hoag</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bl>
    <w:p>
      <w:pPr>
        <w:spacing w:before="0" w:after="40" w:line="259" w:lineRule="auto"/>
      </w:pPr>
    </w:p>
    <w:p>
      <w:pPr>
        <w:spacing w:before="160" w:after="60" w:line="259" w:lineRule="auto"/>
      </w:pPr>
      <w:r>
        <w:rPr>
          <w:rFonts w:ascii="Arial" w:hAnsi="Arial" w:eastAsia="Arial"/>
          <w:b/>
          <w:i w:val="0"/>
          <w:sz w:val="18"/>
        </w:rPr>
        <w:t>Sleep Application</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case</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Sleep research application.</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frame as current marketed product unless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it captures</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Blood pressure surges around apneic events.</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Events shown</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Arousal, central apnea, hypopnea.</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sleep figure.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Signals shown alongside BP</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SpO2, respiratory flow, thoracic effort, heart rate.</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research use case.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 framing</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 not marketed product claim.</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regulatory caution.</w:t>
            </w:r>
          </w:p>
        </w:tc>
      </w:tr>
    </w:tbl>
    <w:p>
      <w:pPr>
        <w:spacing w:before="0" w:after="40" w:line="259" w:lineRule="auto"/>
      </w:pPr>
    </w:p>
    <w:p>
      <w:pPr>
        <w:spacing w:before="160" w:after="60" w:line="259" w:lineRule="auto"/>
      </w:pPr>
      <w:r>
        <w:rPr>
          <w:rFonts w:ascii="Arial" w:hAnsi="Arial" w:eastAsia="Arial"/>
          <w:b/>
          <w:i w:val="0"/>
          <w:sz w:val="18"/>
        </w:rPr>
        <w:t>Backers And Credibility</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7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5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Backer logos shown</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NIH, NSF, Y Combinator, MedTech Innovator, EvoNexus, HeartX.</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logo permissions.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Team credibility</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Experience launching GE patient monitoring products and Cigna digital health solutions.</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if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Affiliations shown</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GE Healthcare, Siemens Healthineers, UC Irvine, Berkeley, Vizient, Ossur, Cigna, Harvard Business School.</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relationship type before publishing].</w:t>
            </w:r>
          </w:p>
        </w:tc>
      </w:tr>
    </w:tbl>
    <w:p>
      <w:pPr>
        <w:spacing w:before="0" w:after="40" w:line="259" w:lineRule="auto"/>
      </w:pPr>
    </w:p>
    <w:p>
      <w:pPr>
        <w:spacing w:before="200" w:after="80" w:line="259" w:lineRule="auto"/>
      </w:pPr>
      <w:r>
        <w:rPr>
          <w:rFonts w:ascii="Arial" w:hAnsi="Arial" w:eastAsia="Arial"/>
          <w:b/>
          <w:i w:val="0"/>
          <w:sz w:val="22"/>
        </w:rPr>
        <w:t>Section 3: Recommended Website Structure</w:t>
      </w:r>
    </w:p>
    <w:p>
      <w:pPr>
        <w:spacing w:before="160" w:after="60" w:line="259" w:lineRule="auto"/>
      </w:pPr>
      <w:r>
        <w:rPr>
          <w:rFonts w:ascii="Arial" w:hAnsi="Arial" w:eastAsia="Arial"/>
          <w:b/>
          <w:i w:val="0"/>
          <w:sz w:val="18"/>
        </w:rPr>
        <w:t>Homepage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5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Hero</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 what Vena Vitals does, why it matters, proof, and primary CTA.</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for hospital administrators first.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Trust bar</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Validated against arterial lines at UC Irvine and the University of Vermont. Mean difference within about 3 to 6 mmHg systolic. Presented at IARS. Backed by NIH, NSF, and Y Combinator.</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 of site names, numbers, and logos].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Problem section</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lines are invasive and can produce dropouts or artifacts. Cuffs only sample every few minutes. Vena Vitals is designed to provide continuous, beat to beat blood pressure monitoring without an arterial line.</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clinical and plain language.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Chart caption</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Vena Vitals stayed continuous through arterial line artifact.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with artifact figure if approved.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a Demo or Talk to Our Team.</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action.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CTA</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See the Evidence.</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 action.</w:t>
            </w:r>
          </w:p>
        </w:tc>
      </w:tr>
    </w:tbl>
    <w:p>
      <w:pPr>
        <w:spacing w:before="0" w:after="40" w:line="259" w:lineRule="auto"/>
      </w:pPr>
    </w:p>
    <w:p>
      <w:pPr>
        <w:spacing w:before="160" w:after="60" w:line="259" w:lineRule="auto"/>
      </w:pPr>
      <w:r>
        <w:rPr>
          <w:rFonts w:ascii="Arial" w:hAnsi="Arial" w:eastAsia="Arial"/>
          <w:b/>
          <w:i w:val="0"/>
          <w:sz w:val="18"/>
        </w:rPr>
        <w:t>Technology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5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Simple overview</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Strap the soft sensor over the artery on the foot. The capacitive sensor reads each pulse as the artery compresses the micropillars. Beat to beat pressure streams over Bluetooth to the tablet app.</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above the fold.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Technical detail</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Micropillar capacitive sensing, elastic applanator, flexible printed circuit, onboard Bluetooth, battery, and IMU.</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below the fold.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Visuals</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diagram, placement photo, tablet app screenshot.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real device visuals where possible.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Audience</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Clinicians and technical evaluators.</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precise and citation-backed.</w:t>
            </w:r>
          </w:p>
        </w:tc>
      </w:tr>
    </w:tbl>
    <w:p>
      <w:pPr>
        <w:spacing w:before="0" w:after="40" w:line="259" w:lineRule="auto"/>
      </w:pPr>
    </w:p>
    <w:p>
      <w:pPr>
        <w:spacing w:before="160" w:after="60" w:line="259" w:lineRule="auto"/>
      </w:pPr>
      <w:r>
        <w:rPr>
          <w:rFonts w:ascii="Arial" w:hAnsi="Arial" w:eastAsia="Arial"/>
          <w:b/>
          <w:i w:val="0"/>
          <w:sz w:val="18"/>
        </w:rPr>
        <w:t>Technology Specs Table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Spec</w:t>
            </w:r>
          </w:p>
        </w:tc>
        <w:tc>
          <w:tcPr>
            <w:tcW w:type="dxa" w:w="52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Output</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Continuous beat to beat systolic, diastolic, MAP, heart rate, and arterial waveform.</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exact claims.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Placement</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Over the dorsalis pedis artery on the foot, with arm placement also noted.</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arm].</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Soft capacitive pressure sensor and elastic applanator.</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Electronics</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battery, IMU motion sensor.</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hardware figure.</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Connectivity</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to tablet app.</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app and hardware figures.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Palpability check, placement confirmation, calibration.</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setup flow.</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Accuracy</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Mean absolute difference about 3 to 6 mmHg systolic and 2 to 4 mmHg diastolic versus radial arterial line.</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and cite].</w:t>
            </w:r>
          </w:p>
        </w:tc>
      </w:tr>
    </w:tbl>
    <w:p>
      <w:pPr>
        <w:spacing w:before="0" w:after="40" w:line="259" w:lineRule="auto"/>
      </w:pPr>
    </w:p>
    <w:p>
      <w:pPr>
        <w:spacing w:before="160" w:after="60" w:line="259" w:lineRule="auto"/>
      </w:pPr>
      <w:r>
        <w:rPr>
          <w:rFonts w:ascii="Arial" w:hAnsi="Arial" w:eastAsia="Arial"/>
          <w:b/>
          <w:i w:val="0"/>
          <w:sz w:val="18"/>
        </w:rPr>
        <w:t>Clinical Evidence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Lead content</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Per patient accuracy table.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Strongest proof point.</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Supporting content</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IARS presentation, multi-hour tracking charts, six study sites.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citations where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library</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Publications, abstracts, posters, conference talks, PDFs.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Especially important for clinicians.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Methodology</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Comparator, patient population, study setting, validation method.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when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framing</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accuracy numbers as study results with citations, not as cleared product specifications.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caution.</w:t>
            </w:r>
          </w:p>
        </w:tc>
      </w:tr>
    </w:tbl>
    <w:p>
      <w:pPr>
        <w:spacing w:before="0" w:after="40" w:line="259" w:lineRule="auto"/>
      </w:pPr>
    </w:p>
    <w:p>
      <w:pPr>
        <w:spacing w:before="160" w:after="60" w:line="259" w:lineRule="auto"/>
      </w:pPr>
      <w:r>
        <w:rPr>
          <w:rFonts w:ascii="Arial" w:hAnsi="Arial" w:eastAsia="Arial"/>
          <w:b/>
          <w:i w:val="0"/>
          <w:sz w:val="18"/>
        </w:rPr>
        <w:t>For Hospitals Or Partner With Us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Audience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Hospital administrators, OR leaders, ICU leaders, supply chain, value-analysis committees.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buyer path.</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Value proposition</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value plus economic value.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vague ROI if numbers are not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Evaluation path</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demo, talk to team, start pilot, request evidence packet.</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 next step clear.</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assets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 sheet, evidence summary, white paper, economic one-pager.</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internal circulation.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Social proof</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Approved pilot hospitals, partners, backers, press.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approved names and logos.</w:t>
            </w:r>
          </w:p>
        </w:tc>
      </w:tr>
    </w:tbl>
    <w:p>
      <w:pPr>
        <w:spacing w:before="0" w:after="40" w:line="259" w:lineRule="auto"/>
      </w:pPr>
    </w:p>
    <w:p>
      <w:pPr>
        <w:spacing w:before="160" w:after="60" w:line="259" w:lineRule="auto"/>
      </w:pPr>
      <w:r>
        <w:rPr>
          <w:rFonts w:ascii="Arial" w:hAnsi="Arial" w:eastAsia="Arial"/>
          <w:b/>
          <w:i w:val="0"/>
          <w:sz w:val="18"/>
        </w:rPr>
        <w:t>Solutions Page: Operating Room</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To Use</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Why It Matters</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photo</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real clinical environment.</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Stronger than abstract graphics.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Foot placement photo</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product placement clearly.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clinicians understand workflow.</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 pain points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the clinical problem.</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factual.</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validation data</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credibility.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Cite where possible.</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Artifact comparison figure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continuity during arterial line artifact.</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differentiator.</w:t>
            </w:r>
          </w:p>
        </w:tc>
      </w:tr>
    </w:tbl>
    <w:p>
      <w:pPr>
        <w:spacing w:before="0" w:after="40" w:line="259" w:lineRule="auto"/>
      </w:pPr>
    </w:p>
    <w:p>
      <w:pPr>
        <w:spacing w:before="160" w:after="60" w:line="259" w:lineRule="auto"/>
      </w:pPr>
      <w:r>
        <w:rPr>
          <w:rFonts w:ascii="Arial" w:hAnsi="Arial" w:eastAsia="Arial"/>
          <w:b/>
          <w:i w:val="0"/>
          <w:sz w:val="18"/>
        </w:rPr>
        <w:t>Solutions Page: Sleep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Visual</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Sleep figure showing blood pressure surges tied to apnea and hypopnea events.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if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Message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Vena Vitals can capture blood pressure surges around sleep-related breathing events.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framing.</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CTA</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Collaborate or Learn More.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use as main buyer CTA.</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Framing</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 not current marketed product claim.</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regulatory caution.</w:t>
            </w:r>
          </w:p>
        </w:tc>
      </w:tr>
    </w:tbl>
    <w:p>
      <w:pPr>
        <w:spacing w:before="0" w:after="40" w:line="259" w:lineRule="auto"/>
      </w:pPr>
    </w:p>
    <w:p>
      <w:pPr>
        <w:spacing w:before="160" w:after="60" w:line="259" w:lineRule="auto"/>
      </w:pPr>
      <w:r>
        <w:rPr>
          <w:rFonts w:ascii="Arial" w:hAnsi="Arial" w:eastAsia="Arial"/>
          <w:b/>
          <w:i w:val="0"/>
          <w:sz w:val="18"/>
        </w:rPr>
        <w:t>Product Page: App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To Use</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Why It Matters</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Tablet UI screenshot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live numbers, waveform, placement workflow, calibration, and clinician controls.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see it in action visual.</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flow</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clinician workflow from placement to calibration.</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for adoption concerns.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 controls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operational detail.</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for clinicians.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 placement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 page and Technology page.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Can also support Product page.</w:t>
            </w:r>
          </w:p>
        </w:tc>
      </w:tr>
    </w:tbl>
    <w:p>
      <w:pPr>
        <w:spacing w:before="0" w:after="40" w:line="259" w:lineRule="auto"/>
      </w:pPr>
    </w:p>
    <w:p>
      <w:pPr>
        <w:spacing w:before="160" w:after="60" w:line="259" w:lineRule="auto"/>
      </w:pPr>
      <w:r>
        <w:rPr>
          <w:rFonts w:ascii="Arial" w:hAnsi="Arial" w:eastAsia="Arial"/>
          <w:b/>
          <w:i w:val="0"/>
          <w:sz w:val="18"/>
        </w:rPr>
        <w:t>About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Logo row</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NIH, NSF, Y Combinator, MedTech Innovator, EvoNexus, HeartX.</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Team credibility line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Built by a team with experience in patient monitoring, medical devices, and digital health, including work connected to GE patient monitoring and Cigna digital health.</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wording.</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Advisors and investigators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named clinical advisors if approved.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clinician credibility.</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Careers or Join Us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if recruiting matters.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audience.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 or Press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if there are press mentions or announcements.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investors and press.</w:t>
            </w:r>
          </w:p>
        </w:tc>
      </w:tr>
    </w:tbl>
    <w:p>
      <w:pPr>
        <w:spacing w:before="0" w:after="40" w:line="259" w:lineRule="auto"/>
      </w:pPr>
    </w:p>
    <w:p>
      <w:pPr>
        <w:spacing w:before="200" w:after="80" w:line="259" w:lineRule="auto"/>
      </w:pPr>
      <w:r>
        <w:rPr>
          <w:rFonts w:ascii="Arial" w:hAnsi="Arial" w:eastAsia="Arial"/>
          <w:b/>
          <w:i w:val="0"/>
          <w:sz w:val="22"/>
        </w:rPr>
        <w:t>Section 4: Final Review Checklist</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5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Item</w:t>
            </w:r>
          </w:p>
        </w:tc>
        <w:tc>
          <w:tcPr>
            <w:tcW w:type="dxa" w:w="17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Status</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510(k) pending disclaimer on every page.</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accuracy numbers as study results, not cleared specs.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citations.</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study site names.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specific mmHg numbers.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partner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affiliation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backer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clinical charts and screenshots.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which affiliations are team, partners, advisors, or funders.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arm placement claim.</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Marked [VERIFY].</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IARS abstract reference.</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Needed for citation.</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with Josh before publishing sensitive claims.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review step.</w:t>
            </w:r>
          </w:p>
        </w:tc>
      </w:tr>
    </w:tbl>
    <w:p>
      <w:pPr>
        <w:spacing w:before="0" w:after="40" w:line="259" w:lineRule="auto"/>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59" w:lineRule="auto"/>
    </w:pPr>
    <w:rPr>
      <w:rFonts w:ascii="Arial" w:hAnsi="Arial" w:eastAsia="Arial"/>
      <w:sz w:val="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Vena Vitals Website Strategy Document</dc:title>
  <dc:subject>Website target audiences, deck-derived content, page structure, and review checklist</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