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4E512A" w14:textId="7AA369ED" w:rsidR="005939A2" w:rsidRDefault="005939A2" w:rsidP="005939A2">
      <w:pPr>
        <w:pStyle w:val="Titre"/>
        <w:rPr>
          <w:lang w:val="fr-FR"/>
        </w:rPr>
      </w:pPr>
      <w:r>
        <w:rPr>
          <w:lang w:val="fr-FR"/>
        </w:rPr>
        <w:t>Titre</w:t>
      </w:r>
    </w:p>
    <w:p w14:paraId="72096469" w14:textId="6D5E0960" w:rsidR="005939A2" w:rsidRDefault="005939A2">
      <w:pPr>
        <w:rPr>
          <w:lang w:val="fr-FR"/>
        </w:rPr>
      </w:pPr>
      <w:r>
        <w:rPr>
          <w:lang w:val="fr-FR"/>
        </w:rPr>
        <w:br w:type="page"/>
      </w:r>
    </w:p>
    <w:p>
      <w:pPr>
        <w:pStyle w:val="En-ttedetabledesmatires"/>
      </w:pPr>
      <w:r>
        <w:t>Table of Contents</w:t>
      </w:r>
    </w:p>
    <w:p>
      <w:pPr>
        <w:pStyle w:val="TM1"/>
      </w:pPr>
      <w:r>
        <w:fldChar w:fldCharType="begin" w:dirty="true"/>
      </w:r>
      <w:r>
        <w:instrText xml:space="preserve"> TOC \o "1-3" \h \z \u </w:instrText>
      </w:r>
      <w:r>
        <w:fldChar w:fldCharType="separate"/>
      </w:r>
      <w:r>
        <w:t>[ Update this field to generate TOC ]</w:t>
      </w:r>
      <w:r>
        <w:fldChar w:fldCharType="end"/>
      </w:r>
    </w:p>
    <w:p>
      <w:r>
        <w:br w:type="page"/>
      </w:r>
    </w:p>
    <w:p>
      <w:pPr>
        <w:pStyle w:val="Titre1"/>
      </w:pPr>
      <w:r>
        <w:t>Rerouting</w:t>
      </w:r>
    </w:p>
    <w:p>
      <w:pPr>
        <w:pStyle w:val="Titre2"/>
      </w:pPr>
      <w:r>
        <w:t>Operational Needs</w:t>
      </w:r>
    </w:p>
    <w:p>
      <w:pPr>
        <w:pStyle w:val="Titre3"/>
      </w:pPr>
      <w:r>
        <w:t>Identification of Operationally Acceptable Trajectories</w:t>
      </w:r>
    </w:p>
    <w:p>
      <w:r>
        <w:t xml:space="preserve">Network Manager shall provide means to identify operationally acceptable trajectories for rerouting purposes. The identification process shall take into account current airspace availability, published restrictions, and real-time traffic demand. Results shall be made available to all concerned stakeholders via the NM B2B interface.</w:t>
      </w:r>
    </w:p>
    <w:p>
      <w:r>
        <w:t xml:space="preserve">The trajectory identification function shall operate in both pre-tactical and tactical timeframes. It shall support both individual flight rerouting and network-wide rerouting schemes. The function shall be integrated with the ATFCM measure management process to ensure consistency of applied measures.</w:t>
      </w:r>
    </w:p>
    <w:p>
      <w:pPr>
        <w:pStyle w:val="Paragraphedeliste"/>
        <w:numPr>
          <w:ilvl w:val="0"/>
          <w:numId w:val="1"/>
        </w:numPr>
      </w:pPr>
      <w:r>
        <w:t>Airspace availability and published restrictions</w:t>
      </w:r>
    </w:p>
    <w:p>
      <w:pPr>
        <w:pStyle w:val="Paragraphedeliste"/>
        <w:numPr>
          <w:ilvl w:val="0"/>
          <w:numId w:val="1"/>
        </w:numPr>
      </w:pPr>
      <w:r>
        <w:t>Real-time traffic demand and sector capacity</w:t>
      </w:r>
    </w:p>
    <w:p>
      <w:pPr>
        <w:pStyle w:val="Paragraphedeliste"/>
        <w:numPr>
          <w:ilvl w:val="0"/>
          <w:numId w:val="1"/>
        </w:numPr>
      </w:pPr>
      <w:r>
        <w:t xml:space="preserve">Flight efficiency and environmental impact — see </w:t>
      </w:r>
      <w:hyperlink r:id="rId11" w:history="1">
        <w:r>
          <w:rPr>
            <w:rStyle w:val="Lienhypertexte"/>
          </w:rPr>
          <w:t>NM B2B web services</w:t>
        </w:r>
      </w:hyperlink>
    </w:p>
    <w:p>
      <w:pPr>
        <w:pStyle w:val="Paragraphedeliste"/>
        <w:numPr>
          <w:ilvl w:val="0"/>
          <w:numId w:val="1"/>
        </w:numPr>
      </w:pPr>
      <w:r>
        <w:t>Coordination with adjacent ACC and FAB boundaries</w:t>
      </w:r>
    </w:p>
    <w:p>
      <w:r>
        <w:t xml:space="preserve">Trajectories identified as operationally acceptable shall be ranked by a composite score combining efficiency, equity, and feasibility criteria. The ranking algorithm shall be configurable by Network Manager operations staff. See also </w:t>
      </w:r>
      <w:hyperlink w:anchor="distrib_section" w:history="1">
        <w:r>
          <w:rPr>
            <w:rStyle w:val="Lienhypertexte"/>
          </w:rPr>
          <w:t>Rerouting Proposal Distribution</w:t>
        </w:r>
      </w:hyperlink>
      <w:r>
        <w:t xml:space="preserve"> for the downstream distribution process.</w:t>
      </w:r>
    </w:p>
    <w:p>
      <w:pPr>
        <w:pStyle w:val="Titre4"/>
      </w:pPr>
      <w:bookmarkStart w:id="1" w:name="distrib_section"/>
      <w:r>
        <w:t>Rerouting Proposal Distribution</w:t>
      </w:r>
      <w:bookmarkEnd w:id="1"/>
    </w:p>
    <w:p>
      <w:r>
        <w:t xml:space="preserve">Network Manager shall distribute validated rerouting proposals to affected airspace users and ANSPs in a timely manner. Distribution shall occur with sufficient lead time to allow operational implementation by the receiving parties. Proposals shall be transmitted via the </w:t>
      </w:r>
      <w:hyperlink r:id="rId11" w:history="1">
        <w:r>
          <w:rPr>
            <w:rStyle w:val="Lienhypertexte"/>
          </w:rPr>
          <w:t>NM B2B web services</w:t>
        </w:r>
      </w:hyperlink>
      <w:r>
        <w:t xml:space="preserve"> and shall include all information required to assess and accept or reject the rerouting.</w:t>
      </w:r>
    </w:p>
    <w:p>
      <w:r>
        <w:t xml:space="preserve">The distribution mechanism shall support both automated B2B transmission and manual notification via the NM Portal. Acknowledgement receipts shall be tracked and recorded. In the absence of acknowledgement within a defined timeout, an escalation procedure shall be triggered automatically.</w:t>
      </w:r>
    </w:p>
    <w:p>
      <w:pPr>
        <w:pStyle w:val="Paragraphedeliste"/>
        <w:numPr>
          <w:ilvl w:val="0"/>
          <w:numId w:val="9"/>
        </w:numPr>
      </w:pPr>
      <w:r>
        <w:t>Identify affected flights and responsible operators</w:t>
      </w:r>
    </w:p>
    <w:p>
      <w:pPr>
        <w:pStyle w:val="Paragraphedeliste"/>
        <w:numPr>
          <w:ilvl w:val="0"/>
          <w:numId w:val="9"/>
        </w:numPr>
      </w:pPr>
      <w:r>
        <w:t>Compute and rank alternative route options</w:t>
      </w:r>
    </w:p>
    <w:p>
      <w:pPr>
        <w:pStyle w:val="Paragraphedeliste"/>
        <w:numPr>
          <w:ilvl w:val="0"/>
          <w:numId w:val="9"/>
        </w:numPr>
      </w:pPr>
      <w:r>
        <w:t>Distribute proposals via NM B2B and Portal</w:t>
      </w:r>
    </w:p>
    <w:p>
      <w:pPr>
        <w:pStyle w:val="Paragraphedeliste"/>
        <w:numPr>
          <w:ilvl w:val="0"/>
          <w:numId w:val="9"/>
        </w:numPr>
      </w:pPr>
      <w:r>
        <w:t>Track acknowledgements and trigger escalation if required</w:t>
      </w:r>
    </w:p>
    <w:p>
      <w:r>
        <w:t xml:space="preserve">All distributed proposals and their acceptance status shall be logged in the ODIP repository with full timestamp and user attribution. The audit trail shall be accessible to authorised Network Manager staff for post-operations analysis and performance review purposes.</w:t>
      </w:r>
    </w:p>
    <w:p>
      <w:pPr>
        <w:pStyle w:val="Titre1"/>
      </w:pPr>
      <w:r>
        <w:t>4-Dimensional Trajectories</w:t>
      </w:r>
    </w:p>
    <w:p>
      <w:pPr>
        <w:pStyle w:val="Titre2"/>
      </w:pPr>
      <w:r>
        <w:t>Operational Requirements</w:t>
      </w:r>
    </w:p>
    <w:p>
      <w:pPr>
        <w:pStyle w:val="Titre3"/>
      </w:pPr>
      <w:r>
        <w:t>Trajectory Data Exchange Requirements</w:t>
      </w:r>
    </w:p>
    <w:p>
      <w:r>
        <w:t xml:space="preserve">The following requirements define the data exchange obligations between Network Manager and airspace users for 4D trajectory management. All data exchanges shall conform to the FIXM standard and be transmitted via the NM B2B interface. Compliance with these requirements is mandatory for all ECAC airspace users operating under iCDM procedures.</w:t>
      </w:r>
    </w:p>
    <w:tbl>
      <w:tblPr>
        <w:tblStyle w:val="Grilledutableau"/>
        <w:tblW w:w="9072" w:type="dxa"/>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ook w:val="04A0" w:firstRow="1" w:lastRow="0" w:firstColumn="1" w:lastColumn="0" w:noHBand="0" w:noVBand="1"/>
      </w:tblPr>
      <w:tblGrid>
        <w:gridCol w:w="2016"/>
        <w:gridCol w:w="5040"/>
        <w:gridCol w:w="2016"/>
      </w:tblGrid>
      <w:tr>
        <w:trPr>
          <w:tblHeader/>
        </w:trPr>
        <w:tc>
          <w:tcPr>
            <w:tcW w:w="2016" w:type="dxa"/>
            <w:shd w:val="clear" w:color="auto" w:fill="365F91"/>
          </w:tcPr>
          <w:p>
            <w:r>
              <w:rPr>
                <w:b/>
                <w:color w:val="FFFFFF"/>
              </w:rPr>
              <w:t>Requirement ID</w:t>
            </w:r>
          </w:p>
        </w:tc>
        <w:tc>
          <w:tcPr>
            <w:tcW w:w="5040" w:type="dxa"/>
            <w:shd w:val="clear" w:color="auto" w:fill="365F91"/>
          </w:tcPr>
          <w:p>
            <w:r>
              <w:rPr>
                <w:b/>
                <w:color w:val="FFFFFF"/>
              </w:rPr>
              <w:t>Description</w:t>
            </w:r>
          </w:p>
        </w:tc>
        <w:tc>
          <w:tcPr>
            <w:tcW w:w="2016" w:type="dxa"/>
            <w:shd w:val="clear" w:color="auto" w:fill="365F91"/>
          </w:tcPr>
          <w:p>
            <w:r>
              <w:rPr>
                <w:b/>
                <w:color w:val="FFFFFF"/>
              </w:rPr>
              <w:t>Maturity</w:t>
            </w:r>
          </w:p>
        </w:tc>
      </w:tr>
      <w:tr>
        <w:tc>
          <w:tcPr>
            <w:tcW w:w="2016" w:type="dxa"/>
          </w:tcPr>
          <w:p>
            <w:r>
              <w:t>OR-4DT-0010</w:t>
            </w:r>
          </w:p>
        </w:tc>
        <w:tc>
          <w:tcPr>
            <w:tcW w:w="5040" w:type="dxa"/>
          </w:tcPr>
          <w:p>
            <w:r>
              <w:t>Trajectory uplink via FIXM over B2B interface</w:t>
            </w:r>
          </w:p>
        </w:tc>
        <w:tc>
          <w:tcPr>
            <w:tcW w:w="2016" w:type="dxa"/>
          </w:tcPr>
          <w:p>
            <w:r>
              <w:t>Validated</w:t>
            </w:r>
          </w:p>
        </w:tc>
      </w:tr>
      <w:tr>
        <w:tc>
          <w:tcPr>
            <w:tcW w:w="2016" w:type="dxa"/>
          </w:tcPr>
          <w:p>
            <w:r>
              <w:t>OR-4DT-0020</w:t>
            </w:r>
          </w:p>
        </w:tc>
        <w:tc>
          <w:tcPr>
            <w:tcW w:w="5040" w:type="dxa"/>
          </w:tcPr>
          <w:p>
            <w:r>
              <w:t>Trajectory update notification to affected ANSPs</w:t>
            </w:r>
          </w:p>
        </w:tc>
        <w:tc>
          <w:tcPr>
            <w:tcW w:w="2016" w:type="dxa"/>
          </w:tcPr>
          <w:p>
            <w:r>
              <w:t>Advanced</w:t>
            </w:r>
          </w:p>
        </w:tc>
      </w:tr>
      <w:tr>
        <w:tc>
          <w:tcPr>
            <w:tcW w:w="2016" w:type="dxa"/>
          </w:tcPr>
          <w:p>
            <w:r>
              <w:t>OR-4DT-0030</w:t>
            </w:r>
          </w:p>
        </w:tc>
        <w:tc>
          <w:tcPr>
            <w:tcW w:w="5040" w:type="dxa"/>
          </w:tcPr>
          <w:p>
            <w:r>
              <w:t>Conflict detection based on 4D trajectory data</w:t>
            </w:r>
          </w:p>
        </w:tc>
        <w:tc>
          <w:tcPr>
            <w:tcW w:w="2016" w:type="dxa"/>
          </w:tcPr>
          <w:p>
            <w:r>
              <w:t>Draft</w:t>
            </w:r>
          </w:p>
        </w:tc>
      </w:tr>
    </w:tbl>
    <w:p>
      <w:r>
        <w:t xml:space="preserve">Compliance with the above requirements shall be verified during the iCDM operational evaluation phase. Non-compliant implementations shall be subject to a corrective action plan agreed between the airspace user and Network Manager. Progress shall be tracked in the ODIP repository against the applicable wave and edition.</w:t>
      </w:r>
    </w:p>
    <w:p>
      <w:pPr>
        <w:pStyle w:val="Titre3"/>
      </w:pPr>
      <w:r>
        <w:t>Trajectory Intent Data Provision</w:t>
      </w:r>
    </w:p>
    <w:p>
      <w:r>
        <w:rPr>
          <w:b/>
        </w:rPr>
        <w:t xml:space="preserve">Code: </w:t>
      </w:r>
      <w:r>
        <w:t>OR-IDL-0123</w:t>
      </w:r>
    </w:p>
    <w:p>
      <w:r>
        <w:rPr>
          <w:b/>
        </w:rPr>
        <w:t xml:space="preserve">Domain: </w:t>
      </w:r>
      <w:r>
        <w:t>Airspace (iDL)</w:t>
      </w:r>
    </w:p>
    <w:p>
      <w:r>
        <w:rPr>
          <w:b/>
        </w:rPr>
        <w:t>Statement</w:t>
      </w:r>
    </w:p>
    <w:p>
      <w:r>
        <w:t xml:space="preserve">The iDL-enabled airspace user shall provide trajectory intent data to Network Manager at least 3 hours before the estimated off-block time. The data shall include all planned waypoints, flight levels, and estimated times of arrival at each point along the route.</w:t>
      </w:r>
    </w:p>
    <w:p>
      <w:r>
        <w:rPr>
          <w:b/>
        </w:rPr>
        <w:t>Rationale</w:t>
      </w:r>
    </w:p>
    <w:p>
      <w:r>
        <w:t xml:space="preserve">Early availability of trajectory intent data enables Network Manager to detect potential conflicts and resource overloads in advance of the tactical phase. This supports more efficient pre-tactical ATFCM measure planning and reduces the need for last-minute interventions, thereby improving overall network performance and flight efficiency.</w:t>
      </w:r>
    </w:p>
    <w:sectPr w:rsidR="005939A2" w:rsidRPr="003F244A"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2E5A11" w14:textId="77777777" w:rsidR="001D1BB0" w:rsidRDefault="001D1BB0">
      <w:pPr>
        <w:spacing w:after="0" w:line="240" w:lineRule="auto"/>
      </w:pPr>
      <w:r>
        <w:separator/>
      </w:r>
    </w:p>
  </w:endnote>
  <w:endnote w:type="continuationSeparator" w:id="0">
    <w:p w14:paraId="0E3C8CB7" w14:textId="77777777" w:rsidR="001D1BB0" w:rsidRDefault="001D1B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94DBA" w14:textId="1E1D6927" w:rsidR="00D46955" w:rsidRDefault="00A03CEF">
    <w:pPr>
      <w:tabs>
        <w:tab w:val="center" w:pos="4809"/>
        <w:tab w:val="right" w:pos="9618"/>
      </w:tabs>
    </w:pPr>
    <w:r>
      <w:rPr>
        <w:sz w:val="16"/>
      </w:rPr>
      <w:t>ODIP Ed. 1.0</w:t>
    </w:r>
    <w:r>
      <w:tab/>
    </w:r>
    <w:r>
      <w:rPr>
        <w:sz w:val="16"/>
      </w:rPr>
      <w:fldChar w:fldCharType="begin"/>
    </w:r>
    <w:r>
      <w:rPr>
        <w:sz w:val="16"/>
      </w:rPr>
      <w:instrText xml:space="preserve"> DATE \@ "dd/MM/yyyy" </w:instrText>
    </w:r>
    <w:r>
      <w:rPr>
        <w:sz w:val="16"/>
      </w:rPr>
      <w:fldChar w:fldCharType="separate"/>
    </w:r>
    <w:r w:rsidR="003F244A">
      <w:rPr>
        <w:noProof/>
        <w:sz w:val="16"/>
      </w:rPr>
      <w:t>05/05/2026</w:t>
    </w:r>
    <w:r>
      <w:rPr>
        <w:sz w:val="16"/>
      </w:rPr>
      <w:fldChar w:fldCharType="end"/>
    </w:r>
    <w:r>
      <w:tab/>
    </w: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AC6E19" w14:textId="77777777" w:rsidR="001D1BB0" w:rsidRDefault="001D1BB0">
      <w:pPr>
        <w:spacing w:after="0" w:line="240" w:lineRule="auto"/>
      </w:pPr>
      <w:r>
        <w:separator/>
      </w:r>
    </w:p>
  </w:footnote>
  <w:footnote w:type="continuationSeparator" w:id="0">
    <w:p w14:paraId="539662F3" w14:textId="77777777" w:rsidR="001D1BB0" w:rsidRDefault="001D1B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720"/>
        </w:tabs>
        <w:ind w:left="72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multilevel"/>
    <w:tmpl w:val="D0A62B40"/>
    <w:lvl w:ilvl="0">
      <w:start w:val="1"/>
      <w:numFmt w:val="decimal"/>
      <w:pStyle w:val="Listenumros"/>
      <w:lvlText w:val="%1."/>
      <w:lvlJc w:val="left"/>
      <w:pPr>
        <w:tabs>
          <w:tab w:val="num" w:pos="360"/>
        </w:tabs>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upperLetter"/>
      <w:lvlText w:val="%4."/>
      <w:lvlJc w:val="left"/>
      <w:pPr>
        <w:ind w:left="1440" w:hanging="360"/>
      </w:pPr>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FFFFFF89"/>
    <w:multiLevelType w:val="multilevel"/>
    <w:tmpl w:val="29761A62"/>
    <w:lvl w:ilvl="0">
      <w:start w:val="1"/>
      <w:numFmt w:val="bullet"/>
      <w:pStyle w:val="Listepuces"/>
      <w:lvlText w:val=""/>
      <w:lvlJc w:val="left"/>
      <w:pPr>
        <w:tabs>
          <w:tab w:val="num" w:pos="720"/>
        </w:tabs>
        <w:ind w:left="720" w:hanging="360"/>
      </w:pPr>
      <w:rPr>
        <w:rFonts w:ascii="Symbol" w:hAnsi="Symbol" w:hint="default"/>
      </w:rPr>
    </w:lvl>
    <w:lvl w:ilvl="1">
      <w:start w:val="1"/>
      <w:numFmt w:val="bullet"/>
      <w:lvlText w:val="o"/>
      <w:lvlJc w:val="left"/>
      <w:pPr>
        <w:ind w:left="720" w:hanging="360"/>
      </w:pPr>
      <w:rPr>
        <w:rFonts w:ascii="Courier New" w:hAnsi="Courier New"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07A159E4"/>
    <w:multiLevelType w:val="multilevel"/>
    <w:tmpl w:val="080C0025"/>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10" w15:restartNumberingAfterBreak="0">
    <w:nsid w:val="36AE6C07"/>
    <w:multiLevelType w:val="hybridMultilevel"/>
    <w:tmpl w:val="2408C836"/>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num w:numId="1" w16cid:durableId="1062943170">
    <w:abstractNumId w:val="8"/>
  </w:num>
  <w:num w:numId="2" w16cid:durableId="721556482">
    <w:abstractNumId w:val="6"/>
  </w:num>
  <w:num w:numId="3" w16cid:durableId="870730730">
    <w:abstractNumId w:val="5"/>
  </w:num>
  <w:num w:numId="4" w16cid:durableId="635138459">
    <w:abstractNumId w:val="4"/>
  </w:num>
  <w:num w:numId="5" w16cid:durableId="2043819532">
    <w:abstractNumId w:val="7"/>
  </w:num>
  <w:num w:numId="6" w16cid:durableId="1767919314">
    <w:abstractNumId w:val="3"/>
  </w:num>
  <w:num w:numId="7" w16cid:durableId="163981038">
    <w:abstractNumId w:val="2"/>
  </w:num>
  <w:num w:numId="8" w16cid:durableId="504638823">
    <w:abstractNumId w:val="1"/>
  </w:num>
  <w:num w:numId="9" w16cid:durableId="156001332">
    <w:abstractNumId w:val="0"/>
  </w:num>
  <w:num w:numId="10" w16cid:durableId="1498307930">
    <w:abstractNumId w:val="9"/>
  </w:num>
  <w:num w:numId="11" w16cid:durableId="91948114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708A2"/>
    <w:rsid w:val="0015074B"/>
    <w:rsid w:val="001D1BB0"/>
    <w:rsid w:val="001E6D12"/>
    <w:rsid w:val="00280345"/>
    <w:rsid w:val="0029639D"/>
    <w:rsid w:val="00326F90"/>
    <w:rsid w:val="003F244A"/>
    <w:rsid w:val="004C1D7D"/>
    <w:rsid w:val="005939A2"/>
    <w:rsid w:val="005C341B"/>
    <w:rsid w:val="00665BF5"/>
    <w:rsid w:val="00862CC8"/>
    <w:rsid w:val="009C0C9D"/>
    <w:rsid w:val="00A03CEF"/>
    <w:rsid w:val="00AA1D8D"/>
    <w:rsid w:val="00B13C3E"/>
    <w:rsid w:val="00B47730"/>
    <w:rsid w:val="00CB0664"/>
    <w:rsid w:val="00CC5955"/>
    <w:rsid w:val="00D0127E"/>
    <w:rsid w:val="00D46955"/>
    <w:rsid w:val="00F04D75"/>
    <w:rsid w:val="00F859B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20E9EF"/>
  <w14:defaultImageDpi w14:val="300"/>
  <w15:docId w15:val="{C96AFCD7-920B-4817-9E0D-378890DE31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hAnsi="Calibri" w:eastAsia="Calibri" w:cs="Calibri"/>
        <w:sz w:val="22"/>
        <w:szCs w:val="22"/>
        <w:lang w:val="en-US" w:eastAsia="en-US" w:bidi="ar-SA"/>
      </w:rPr>
    </w:rPrDefault>
    <w:pPrDefault>
      <w:pPr>
        <w:spacing w:after="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before="120" w:after="120"/>
    </w:pPr>
    <w:rPr>
      <w:rFonts w:ascii="Calibri" w:hAnsi="Calibri" w:cs="Calibri"/>
    </w:rPr>
  </w:style>
  <w:style w:type="paragraph" w:styleId="Titre1">
    <w:name w:val="heading 1"/>
    <w:basedOn w:val="Normal"/>
    <w:next w:val="Normal"/>
    <w:link w:val="Titre1Car"/>
    <w:uiPriority w:val="9"/>
    <w:qFormat/>
    <w:rsid w:val="00FC693F"/>
    <w:pPr>
      <w:keepNext/>
      <w:keepLines/>
      <w:numPr>
        <w:numId w:val="10"/>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numPr>
        <w:ilvl w:val="1"/>
        <w:numId w:val="10"/>
      </w:numPr>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numPr>
        <w:ilvl w:val="2"/>
        <w:numId w:val="10"/>
      </w:numPr>
      <w:spacing w:before="200" w:after="12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numPr>
        <w:ilvl w:val="3"/>
        <w:numId w:val="10"/>
      </w:numPr>
      <w:spacing w:before="200" w:after="12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numPr>
        <w:ilvl w:val="4"/>
        <w:numId w:val="10"/>
      </w:numPr>
      <w:spacing w:before="200" w:after="12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numPr>
        <w:ilvl w:val="5"/>
        <w:numId w:val="10"/>
      </w:numPr>
      <w:spacing w:before="200" w:after="12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numPr>
        <w:ilvl w:val="6"/>
        <w:numId w:val="10"/>
      </w:numPr>
      <w:spacing w:before="200" w:after="12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numPr>
        <w:ilvl w:val="7"/>
        <w:numId w:val="10"/>
      </w:numPr>
      <w:spacing w:before="200" w:after="12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numPr>
        <w:ilvl w:val="8"/>
        <w:numId w:val="10"/>
      </w:numPr>
      <w:spacing w:before="200" w:after="12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spacing w:before="0" w:after="0" w:line="240" w:lineRule="auto"/>
      <w:ind w:left="720"/>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pageBreakBefore/>
      <w:numPr>
        <w:numId w:val="0"/>
      </w:num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Lienhypertexte">
    <w:name w:val="Hyperlink"/>
    <w:basedOn w:val="Policepardfaut"/>
    <w:uiPriority w:val="99"/>
    <w:unhideWhenUsed/>
    <w:rsid w:val="00F04D75"/>
    <w:rPr>
      <w:color w:val="0070C0"/>
      <w:u w:val="single"/>
    </w:rPr>
  </w:style>
  <w:style w:type="character" w:styleId="Mentionnonrsolue">
    <w:name w:val="Unresolved Mention"/>
    <w:basedOn w:val="Policepardfaut"/>
    <w:uiPriority w:val="99"/>
    <w:semiHidden/>
    <w:unhideWhenUsed/>
    <w:rsid w:val="00862CC8"/>
    <w:rPr>
      <w:color w:val="605E5C"/>
      <w:shd w:val="clear" w:color="auto" w:fill="E1DFDD"/>
    </w:rPr>
  </w:style>
  <w:style w:type="paragraph" w:styleId="TM1">
    <w:name w:val="toc 1"/>
    <w:basedOn w:val="Normal"/>
    <w:next w:val="Normal"/>
    <w:uiPriority w:val="39"/>
    <w:unhideWhenUsed/>
    <w:rsid w:val="00FC693F"/>
    <w:pPr>
      <w:spacing w:after="0"/>
      <w:ind w:left="0"/>
    </w:pPr>
  </w:style>
  <w:style w:type="paragraph" w:styleId="TM2">
    <w:name w:val="toc 2"/>
    <w:basedOn w:val="Normal"/>
    <w:next w:val="Normal"/>
    <w:uiPriority w:val="39"/>
    <w:unhideWhenUsed/>
    <w:rsid w:val="00FC693F"/>
    <w:pPr>
      <w:spacing w:after="0"/>
      <w:ind w:left="0"/>
    </w:pPr>
  </w:style>
  <w:style w:type="paragraph" w:styleId="TM3">
    <w:name w:val="toc 3"/>
    <w:basedOn w:val="Normal"/>
    <w:next w:val="Normal"/>
    <w:uiPriority w:val="39"/>
    <w:unhideWhenUsed/>
    <w:rsid w:val="00FC693F"/>
    <w:pPr>
      <w:spacing w:after="0"/>
      <w:ind w:left="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yperlink" Target="https://www.eurocontrol.int/service/network-manager-business-business-b2b-web-servic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Words>
  <Characters>8</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Jacques Lauzeral</cp:lastModifiedBy>
  <cp:revision>10</cp:revision>
  <dcterms:created xsi:type="dcterms:W3CDTF">2026-05-04T10:27:00Z</dcterms:created>
  <dcterms:modified xsi:type="dcterms:W3CDTF">2026-05-05T12:34:00Z</dcterms:modified>
  <cp:category/>
</cp:coreProperties>
</file>