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Résultats, rédigé à partir du projet QualiCode « MÉMOIRE NGOMA — MUKAKI DUNIA Jacques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5. RÉSULTATS</w:t>
      </w:r>
    </w:p>
    <w:p>
      <w:pPr>
        <w:spacing w:after="80"/>
        <w:jc w:val="both"/>
      </w:pPr>
      <w:r>
        <w:rPr>
          <w:i w:val="false"/>
          <w:iCs w:val="false"/>
          <w:sz w:val="22"/>
          <w:szCs w:val="22"/>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80"/>
        <w:jc w:val="both"/>
      </w:pPr>
      <w:r>
        <w:rPr>
          <w:i w:val="false"/>
          <w:iCs w:val="false"/>
          <w:sz w:val="22"/>
          <w:szCs w:val="22"/>
        </w:rPr>
        <w:t xml:space="preserve">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after="120" w:before="220"/>
      </w:pPr>
      <w:r>
        <w:t xml:space="preserve">5.1. Caractéristiques des participants et des centres</w:t>
      </w:r>
    </w:p>
    <w:p>
      <w:pPr>
        <w:spacing w:after="80"/>
        <w:jc w:val="both"/>
      </w:pPr>
      <w:r>
        <w:rPr>
          <w:i w:val="false"/>
          <w:iCs w:val="false"/>
          <w:sz w:val="22"/>
          <w:szCs w:val="22"/>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sz w:val="20"/>
          <w:szCs w:val="20"/>
        </w:rPr>
        <w:t xml:space="preserve">Tableau IV. Caractéristiques des participants (n =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(effectif)</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infirmier : 6 ; infirmière : 4 ; sage-femme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féminin : 14 ; masculin : 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 (ans)</w:t>
            </w:r>
          </w:p>
        </w:tc>
        <w:tc>
          <w:tcPr>
            <w:tcW w:type="dxa" w:w="6026"/>
            <w:tcMar>
              <w:top w:type="dxa" w:w="60"/>
              <w:left w:type="dxa" w:w="100"/>
              <w:bottom w:type="dxa" w:w="60"/>
              <w:right w:type="dxa" w:w="100"/>
            </w:tcMar>
          </w:tcPr>
          <w:p>
            <w:r>
              <w:rPr>
                <w:b w:val="false"/>
                <w:bCs w:val="false"/>
                <w:i w:val="false"/>
                <w:iCs w:val="false"/>
                <w:sz w:val="19"/>
                <w:szCs w:val="19"/>
              </w:rPr>
              <w:t xml:space="preserve">20-29 : 4 ; 30-39 : 8 ; 40-49 : 6 ; 50 et plus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totale</w:t>
            </w:r>
          </w:p>
        </w:tc>
        <w:tc>
          <w:tcPr>
            <w:tcW w:type="dxa" w:w="6026"/>
            <w:tcMar>
              <w:top w:type="dxa" w:w="60"/>
              <w:left w:type="dxa" w:w="100"/>
              <w:bottom w:type="dxa" w:w="60"/>
              <w:right w:type="dxa" w:w="100"/>
            </w:tcMar>
          </w:tcPr>
          <w:p>
            <w:r>
              <w:rPr>
                <w:b w:val="false"/>
                <w:bCs w:val="false"/>
                <w:i w:val="false"/>
                <w:iCs w:val="false"/>
                <w:sz w:val="19"/>
                <w:szCs w:val="19"/>
              </w:rPr>
              <w:t xml:space="preserve">&lt; 5 ans : 4 ; 5-10 ans : 8 ; &gt; 10 ans : 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CPN</w:t>
            </w:r>
          </w:p>
        </w:tc>
        <w:tc>
          <w:tcPr>
            <w:tcW w:type="dxa" w:w="6026"/>
            <w:tcMar>
              <w:top w:type="dxa" w:w="60"/>
              <w:left w:type="dxa" w:w="100"/>
              <w:bottom w:type="dxa" w:w="60"/>
              <w:right w:type="dxa" w:w="100"/>
            </w:tcMar>
          </w:tcPr>
          <w:p>
            <w:r>
              <w:rPr>
                <w:b w:val="false"/>
                <w:bCs w:val="false"/>
                <w:i w:val="false"/>
                <w:iCs w:val="false"/>
                <w:sz w:val="19"/>
                <w:szCs w:val="19"/>
              </w:rPr>
              <w:t xml:space="preserve">6 mois-2 ans : 6 ; &gt; 2 ans : 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w:t>
            </w:r>
          </w:p>
        </w:tc>
        <w:tc>
          <w:tcPr>
            <w:tcW w:type="dxa" w:w="6026"/>
            <w:tcMar>
              <w:top w:type="dxa" w:w="60"/>
              <w:left w:type="dxa" w:w="100"/>
              <w:bottom w:type="dxa" w:w="60"/>
              <w:right w:type="dxa" w:w="100"/>
            </w:tcMar>
          </w:tcPr>
          <w:p>
            <w:r>
              <w:rPr>
                <w:b w:val="false"/>
                <w:bCs w:val="false"/>
                <w:i w:val="false"/>
                <w:iCs w:val="false"/>
                <w:sz w:val="19"/>
                <w:szCs w:val="19"/>
              </w:rPr>
              <w:t xml:space="preserve">titulaire : 5 ; prestataire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6026"/>
            <w:tcMar>
              <w:top w:type="dxa" w:w="60"/>
              <w:left w:type="dxa" w:w="100"/>
              <w:bottom w:type="dxa" w:w="60"/>
              <w:right w:type="dxa" w:w="100"/>
            </w:tcMar>
          </w:tcPr>
          <w:p>
            <w:r>
              <w:rPr>
                <w:b w:val="false"/>
                <w:bCs w:val="false"/>
                <w:i w:val="false"/>
                <w:iCs w:val="false"/>
                <w:sz w:val="19"/>
                <w:szCs w:val="19"/>
              </w:rPr>
              <w:t xml:space="preserve">oui : 10 ; non : 8 ; ne sait pas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kinyarwanda : 16 ; français : 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Vague de collecte</w:t>
            </w:r>
          </w:p>
        </w:tc>
        <w:tc>
          <w:tcPr>
            <w:tcW w:type="dxa" w:w="6026"/>
            <w:tcMar>
              <w:top w:type="dxa" w:w="60"/>
              <w:left w:type="dxa" w:w="100"/>
              <w:bottom w:type="dxa" w:w="60"/>
              <w:right w:type="dxa" w:w="100"/>
            </w:tcMar>
          </w:tcPr>
          <w:p>
            <w:r>
              <w:rPr>
                <w:b w:val="false"/>
                <w:bCs w:val="false"/>
                <w:i w:val="false"/>
                <w:iCs w:val="false"/>
                <w:sz w:val="19"/>
                <w:szCs w:val="19"/>
              </w:rPr>
              <w:t xml:space="preserve">vague 1 : 10 ; vague 2 : 10</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Modalités (nombre de centres)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6026"/>
            <w:tcMar>
              <w:top w:type="dxa" w:w="60"/>
              <w:left w:type="dxa" w:w="100"/>
              <w:bottom w:type="dxa" w:w="60"/>
              <w:right w:type="dxa" w:w="100"/>
            </w:tcMar>
          </w:tcPr>
          <w:p>
            <w:r>
              <w:rPr>
                <w:b w:val="false"/>
                <w:bCs w:val="false"/>
                <w:i w:val="false"/>
                <w:iCs w:val="false"/>
                <w:sz w:val="19"/>
                <w:szCs w:val="19"/>
              </w:rPr>
              <w:t xml:space="preserve">urbain : 4 ; rural périphérique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6026"/>
            <w:tcMar>
              <w:top w:type="dxa" w:w="60"/>
              <w:left w:type="dxa" w:w="100"/>
              <w:bottom w:type="dxa" w:w="60"/>
              <w:right w:type="dxa" w:w="100"/>
            </w:tcMar>
          </w:tcPr>
          <w:p>
            <w:r>
              <w:rPr>
                <w:b w:val="false"/>
                <w:bCs w:val="false"/>
                <w:i w:val="false"/>
                <w:iCs w:val="false"/>
                <w:sz w:val="19"/>
                <w:szCs w:val="19"/>
              </w:rPr>
              <w:t xml:space="preserve">proche : 4 ; éloignée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6026"/>
            <w:tcMar>
              <w:top w:type="dxa" w:w="60"/>
              <w:left w:type="dxa" w:w="100"/>
              <w:bottom w:type="dxa" w:w="60"/>
              <w:right w:type="dxa" w:w="100"/>
            </w:tcMar>
          </w:tcPr>
          <w:p>
            <w:r>
              <w:rPr>
                <w:b w:val="false"/>
                <w:bCs w:val="false"/>
                <w:i w:val="false"/>
                <w:iCs w:val="false"/>
                <w:sz w:val="19"/>
                <w:szCs w:val="19"/>
              </w:rPr>
              <w:t xml:space="preserve">élevé : 5 ; modéré : 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6026"/>
            <w:tcMar>
              <w:top w:type="dxa" w:w="60"/>
              <w:left w:type="dxa" w:w="100"/>
              <w:bottom w:type="dxa" w:w="60"/>
              <w:right w:type="dxa" w:w="100"/>
            </w:tcMar>
          </w:tcPr>
          <w:p>
            <w:r>
              <w:rPr>
                <w:b w:val="false"/>
                <w:bCs w:val="false"/>
                <w:i w:val="false"/>
                <w:iCs w:val="false"/>
                <w:sz w:val="19"/>
                <w:szCs w:val="19"/>
              </w:rPr>
              <w:t xml:space="preserve">plus faible : 4 ; plus élevée : 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du laboratoire</w:t>
            </w:r>
          </w:p>
        </w:tc>
        <w:tc>
          <w:tcPr>
            <w:tcW w:type="dxa" w:w="6026"/>
            <w:tcMar>
              <w:top w:type="dxa" w:w="60"/>
              <w:left w:type="dxa" w:w="100"/>
              <w:bottom w:type="dxa" w:w="60"/>
              <w:right w:type="dxa" w:w="100"/>
            </w:tcMar>
          </w:tcPr>
          <w:p>
            <w:r>
              <w:rPr>
                <w:b w:val="false"/>
                <w:bCs w:val="false"/>
                <w:i w:val="false"/>
                <w:iCs w:val="false"/>
                <w:sz w:val="19"/>
                <w:szCs w:val="19"/>
              </w:rPr>
              <w:t xml:space="preserve">en état : 13 ; en panne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de la première CPN (demandée en CPN, faite au laboratoire) le jour de l'observation</w:t>
            </w:r>
          </w:p>
        </w:tc>
        <w:tc>
          <w:tcPr>
            <w:tcW w:type="dxa" w:w="6026"/>
            <w:tcMar>
              <w:top w:type="dxa" w:w="60"/>
              <w:left w:type="dxa" w:w="100"/>
              <w:bottom w:type="dxa" w:w="60"/>
              <w:right w:type="dxa" w:w="100"/>
            </w:tcMar>
          </w:tcPr>
          <w:p>
            <w:r>
              <w:rPr>
                <w:b w:val="false"/>
                <w:bCs w:val="false"/>
                <w:i w:val="false"/>
                <w:iCs w:val="false"/>
                <w:sz w:val="19"/>
                <w:szCs w:val="19"/>
              </w:rPr>
              <w:t xml:space="preserve">faite à toutes : 8 ; non faite : rupture de bandelettes : 3 ; non faite : glucomètre en panne : 2 ; non faite : laborantin absent : 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Rupture de bandelettes de glycémie (trois derniers mois)</w:t>
            </w:r>
          </w:p>
        </w:tc>
        <w:tc>
          <w:tcPr>
            <w:tcW w:type="dxa" w:w="6026"/>
            <w:tcMar>
              <w:top w:type="dxa" w:w="60"/>
              <w:left w:type="dxa" w:w="100"/>
              <w:bottom w:type="dxa" w:w="60"/>
              <w:right w:type="dxa" w:w="100"/>
            </w:tcMar>
          </w:tcPr>
          <w:p>
            <w:r>
              <w:rPr>
                <w:b w:val="false"/>
                <w:bCs w:val="false"/>
                <w:i w:val="false"/>
                <w:iCs w:val="false"/>
                <w:sz w:val="19"/>
                <w:szCs w:val="19"/>
              </w:rPr>
              <w:t xml:space="preserve">oui : 6 ; non : 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Test manqué noté pour être refait</w:t>
            </w:r>
          </w:p>
        </w:tc>
        <w:tc>
          <w:tcPr>
            <w:tcW w:type="dxa" w:w="6026"/>
            <w:tcMar>
              <w:top w:type="dxa" w:w="60"/>
              <w:left w:type="dxa" w:w="100"/>
              <w:bottom w:type="dxa" w:w="60"/>
              <w:right w:type="dxa" w:w="100"/>
            </w:tcMar>
          </w:tcPr>
          <w:p>
            <w:r>
              <w:rPr>
                <w:b w:val="false"/>
                <w:bCs w:val="false"/>
                <w:i w:val="false"/>
                <w:iCs w:val="false"/>
                <w:sz w:val="19"/>
                <w:szCs w:val="19"/>
              </w:rPr>
              <w:t xml:space="preserve">oui : 2 ; non : 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Glycémie refaite systématiquement à 24-28 semaines</w:t>
            </w:r>
          </w:p>
        </w:tc>
        <w:tc>
          <w:tcPr>
            <w:tcW w:type="dxa" w:w="6026"/>
            <w:tcMar>
              <w:top w:type="dxa" w:w="60"/>
              <w:left w:type="dxa" w:w="100"/>
              <w:bottom w:type="dxa" w:w="60"/>
              <w:right w:type="dxa" w:w="100"/>
            </w:tcMar>
          </w:tcPr>
          <w:p>
            <w:r>
              <w:rPr>
                <w:b w:val="false"/>
                <w:bCs w:val="false"/>
                <w:i w:val="false"/>
                <w:iCs w:val="false"/>
                <w:sz w:val="19"/>
                <w:szCs w:val="19"/>
              </w:rPr>
              <w:t xml:space="preserve">oui : 0 ; non (sur facteurs de risque au mieux) : 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Femmes reçues pendant la demi-journée</w:t>
            </w:r>
          </w:p>
        </w:tc>
        <w:tc>
          <w:tcPr>
            <w:tcW w:type="dxa" w:w="6026"/>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et données de routine du district.</w:t>
      </w:r>
    </w:p>
    <w:p>
      <w:pPr>
        <w:spacing w:after="80"/>
        <w:jc w:val="both"/>
      </w:pPr>
      <w:r>
        <w:rPr>
          <w:i w:val="false"/>
          <w:iCs w:val="false"/>
          <w:sz w:val="22"/>
          <w:szCs w:val="22"/>
        </w:rPr>
        <w:t xml:space="preserve">Le tensiomètre était présent en salle de CPN dans les 15 centres. La glycémie de la première CPN y est demandée pour toutes les femmes et faite par le laboratoire, dont le glucomètre était en état dans 13 centres et en panne dans 2.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80"/>
        <w:jc w:val="both"/>
      </w:pPr>
      <w:r>
        <w:rPr>
          <w:i w:val="false"/>
          <w:iCs w:val="false"/>
          <w:sz w:val="22"/>
          <w:szCs w:val="22"/>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after="100" w:before="180"/>
      </w:pPr>
      <w:r>
        <w:t xml:space="preserve">5.2.2. Thème 1 — Un test pour toutes, sauf les jours où il manque quelque chose</w:t>
      </w:r>
    </w:p>
    <w:p>
      <w:pPr>
        <w:spacing w:after="80"/>
        <w:jc w:val="both"/>
      </w:pPr>
      <w:r>
        <w:rPr>
          <w:i w:val="false"/>
          <w:iCs w:val="false"/>
          <w:sz w:val="22"/>
          <w:szCs w:val="22"/>
        </w:rPr>
        <w:t xml:space="preserve">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spacing w:after="80"/>
        <w:jc w:val="both"/>
      </w:pPr>
      <w:r>
        <w:rPr>
          <w:i w:val="false"/>
          <w:iCs w:val="false"/>
          <w:sz w:val="22"/>
          <w:szCs w:val="22"/>
        </w:rPr>
        <w:t xml:space="preserve">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8 participants décrivent cette glycémie d'urgence, faite en CPN ou par le laborantin appelé dans la salle.</w:t>
      </w:r>
    </w:p>
    <w:p>
      <w:pPr>
        <w:spacing w:after="40" w:before="60"/>
        <w:ind w:left="567" w:right="567"/>
        <w:jc w:val="both"/>
      </w:pPr>
      <w:r>
        <w:rPr>
          <w:i/>
          <w:iCs/>
          <w:sz w:val="21"/>
          <w:szCs w:val="21"/>
        </w:rPr>
        <w:t xml:space="preserve">« Mais le laboratoire ne prélève plus après midi. Celle qui arrive tard, ou qui attend trop longtemps chez nous, trouve un laboratoire qui ne reçoit plus personne pour les prélèvements ; la case du sucre reste vide, et personne ne la rappelle. »</w:t>
      </w:r>
    </w:p>
    <w:p>
      <w:pPr>
        <w:spacing w:after="160"/>
        <w:ind w:left="567" w:right="567"/>
        <w:jc w:val="right"/>
      </w:pPr>
      <w:r>
        <w:rPr>
          <w:color w:val="444444"/>
          <w:sz w:val="19"/>
          <w:szCs w:val="19"/>
        </w:rPr>
        <w:t xml:space="preserve">(P20, infirmier — traduit du kinyarwanda)</w:t>
      </w:r>
    </w:p>
    <w:p>
      <w:pPr>
        <w:spacing w:after="80"/>
        <w:jc w:val="both"/>
      </w:pPr>
      <w:r>
        <w:rPr>
          <w:i w:val="false"/>
          <w:iCs w:val="false"/>
          <w:sz w:val="22"/>
          <w:szCs w:val="22"/>
        </w:rPr>
        <w:t xml:space="preserve">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spacing w:after="40" w:before="60"/>
        <w:ind w:left="567" w:right="567"/>
        <w:jc w:val="both"/>
      </w:pPr>
      <w:r>
        <w:rPr>
          <w:i/>
          <w:iCs/>
          <w:sz w:val="21"/>
          <w:szCs w:val="21"/>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ind w:left="567" w:right="567"/>
        <w:jc w:val="right"/>
      </w:pPr>
      <w:r>
        <w:rPr>
          <w:color w:val="444444"/>
          <w:sz w:val="19"/>
          <w:szCs w:val="19"/>
        </w:rPr>
        <w:t xml:space="preserve">(P01, infirmier — traduit du kinyarwanda)</w:t>
      </w:r>
    </w:p>
    <w:p>
      <w:pPr>
        <w:spacing w:after="80"/>
        <w:jc w:val="both"/>
      </w:pPr>
      <w:r>
        <w:rPr>
          <w:i w:val="false"/>
          <w:iCs w:val="false"/>
          <w:sz w:val="22"/>
          <w:szCs w:val="22"/>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80"/>
        <w:jc w:val="both"/>
      </w:pPr>
      <w:r>
        <w:rPr>
          <w:i w:val="false"/>
          <w:iCs w:val="false"/>
          <w:sz w:val="22"/>
          <w:szCs w:val="22"/>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80"/>
        <w:jc w:val="both"/>
      </w:pPr>
      <w:r>
        <w:rPr>
          <w:i w:val="false"/>
          <w:iCs w:val="false"/>
          <w:sz w:val="22"/>
          <w:szCs w:val="22"/>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80"/>
        <w:jc w:val="both"/>
      </w:pPr>
      <w:r>
        <w:rPr>
          <w:i w:val="false"/>
          <w:iCs w:val="false"/>
          <w:sz w:val="22"/>
          <w:szCs w:val="22"/>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80"/>
        <w:jc w:val="both"/>
      </w:pPr>
      <w:r>
        <w:rPr>
          <w:i w:val="false"/>
          <w:iCs w:val="false"/>
          <w:sz w:val="22"/>
          <w:szCs w:val="22"/>
        </w:rPr>
        <w:t xml:space="preserve">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spacing w:after="40" w:before="60"/>
        <w:ind w:left="567" w:right="567"/>
        <w:jc w:val="both"/>
      </w:pPr>
      <w:r>
        <w:rPr>
          <w:i/>
          <w:iCs/>
          <w:sz w:val="21"/>
          <w:szCs w:val="21"/>
        </w:rPr>
        <w:t xml:space="preserve">« Les femmes des collines du fond arrivent à dix heures, parfois onze heures, après deux heures de marche. Elles ont raté la séance. Et ce sont justement celles qui en auraient le plus besoin. »</w:t>
      </w:r>
    </w:p>
    <w:p>
      <w:pPr>
        <w:spacing w:after="160"/>
        <w:ind w:left="567" w:right="567"/>
        <w:jc w:val="right"/>
      </w:pPr>
      <w:r>
        <w:rPr>
          <w:color w:val="444444"/>
          <w:sz w:val="19"/>
          <w:szCs w:val="19"/>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80"/>
        <w:jc w:val="both"/>
      </w:pPr>
      <w:r>
        <w:rPr>
          <w:i w:val="false"/>
          <w:iCs w:val="false"/>
          <w:sz w:val="22"/>
          <w:szCs w:val="22"/>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80"/>
        <w:jc w:val="both"/>
      </w:pPr>
      <w:r>
        <w:rPr>
          <w:i w:val="false"/>
          <w:iCs w:val="false"/>
          <w:sz w:val="22"/>
          <w:szCs w:val="22"/>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pStyle w:val="Heading3"/>
        <w:spacing w:after="100" w:before="180"/>
      </w:pPr>
      <w:r>
        <w:t xml:space="preserve">5.3.3. Thème 5 — Ce que change la dotation, et ce qu'elle ne change pas</w:t>
      </w:r>
    </w:p>
    <w:p>
      <w:pPr>
        <w:spacing w:after="80"/>
        <w:jc w:val="both"/>
      </w:pPr>
      <w:r>
        <w:rPr>
          <w:i w:val="false"/>
          <w:iCs w:val="false"/>
          <w:sz w:val="22"/>
          <w:szCs w:val="22"/>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after="100" w:before="180"/>
      </w:pPr>
      <w:r>
        <w:t xml:space="preserve">5.3.4. Thème 3 — Trouver sans pouvoir suivre</w:t>
      </w:r>
    </w:p>
    <w:p>
      <w:pPr>
        <w:spacing w:after="80"/>
        <w:jc w:val="both"/>
      </w:pPr>
      <w:r>
        <w:rPr>
          <w:i w:val="false"/>
          <w:iCs w:val="false"/>
          <w:sz w:val="22"/>
          <w:szCs w:val="22"/>
        </w:rPr>
        <w:t xml:space="preserve">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spacing w:after="80"/>
        <w:jc w:val="both"/>
      </w:pPr>
      <w:r>
        <w:rPr>
          <w:i w:val="false"/>
          <w:iCs w:val="false"/>
          <w:sz w:val="22"/>
          <w:szCs w:val="22"/>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ind w:left="567" w:right="567"/>
        <w:jc w:val="both"/>
      </w:pPr>
      <w:r>
        <w:rPr>
          <w:i/>
          <w:iCs/>
          <w:sz w:val="21"/>
          <w:szCs w:val="21"/>
        </w:rPr>
        <w:t xml:space="preserve">« Mais ce sont des femmes de fonctionnaires ou de commerçants ; la femme qui cultive ne le pourra jamais, et c'est elle qui habite le plus loin. »</w:t>
      </w:r>
    </w:p>
    <w:p>
      <w:pPr>
        <w:spacing w:after="160"/>
        <w:ind w:left="567" w:right="567"/>
        <w:jc w:val="right"/>
      </w:pPr>
      <w:r>
        <w:rPr>
          <w:color w:val="444444"/>
          <w:sz w:val="19"/>
          <w:szCs w:val="19"/>
        </w:rPr>
        <w:t xml:space="preserve">(P11, sage-femme)</w:t>
      </w:r>
    </w:p>
    <w:p>
      <w:pPr>
        <w:pStyle w:val="Heading3"/>
        <w:spacing w:after="100" w:before="180"/>
      </w:pPr>
      <w:r>
        <w:t xml:space="preserve">5.3.5. Conditions sociales perçues</w:t>
      </w:r>
    </w:p>
    <w:p>
      <w:pPr>
        <w:spacing w:after="80"/>
        <w:jc w:val="both"/>
      </w:pPr>
      <w:r>
        <w:rPr>
          <w:i w:val="false"/>
          <w:iCs w:val="false"/>
          <w:sz w:val="22"/>
          <w:szCs w:val="22"/>
        </w:rPr>
        <w:t xml:space="preserve">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after="100" w:before="180"/>
      </w:pPr>
      <w:r>
        <w:t xml:space="preserve">5.3.6. Thème 6 — Le registre comme écran</w:t>
      </w:r>
    </w:p>
    <w:p>
      <w:pPr>
        <w:spacing w:after="8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pStyle w:val="Heading3"/>
        <w:spacing w:after="100" w:before="180"/>
      </w:pPr>
      <w:r>
        <w:t xml:space="preserve">5.3.7. Thème 7 — Le dépistage hors des murs</w:t>
      </w:r>
    </w:p>
    <w:p>
      <w:pPr>
        <w:spacing w:after="80"/>
        <w:jc w:val="both"/>
      </w:pPr>
      <w:r>
        <w:rPr>
          <w:i w:val="false"/>
          <w:iCs w:val="false"/>
          <w:sz w:val="22"/>
          <w:szCs w:val="22"/>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80"/>
        <w:jc w:val="both"/>
      </w:pPr>
      <w:r>
        <w:rPr>
          <w:i w:val="false"/>
          <w:iCs w:val="false"/>
          <w:sz w:val="22"/>
          <w:szCs w:val="22"/>
        </w:rPr>
        <w:t xml:space="preserve">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spacing w:after="80"/>
        <w:jc w:val="both"/>
      </w:pPr>
      <w:r>
        <w:rPr>
          <w:i w:val="false"/>
          <w:iCs w:val="false"/>
          <w:sz w:val="22"/>
          <w:szCs w:val="22"/>
        </w:rPr>
        <w:t xml:space="preserve">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after="120" w:before="220"/>
      </w:pPr>
      <w:r>
        <w:t xml:space="preserve">5.5. Triangulation et synthèse</w:t>
      </w:r>
    </w:p>
    <w:p>
      <w:pPr>
        <w:spacing w:after="80"/>
        <w:jc w:val="both"/>
      </w:pPr>
      <w:r>
        <w:rPr>
          <w:i w:val="false"/>
          <w:iCs w:val="false"/>
          <w:sz w:val="22"/>
          <w:szCs w:val="22"/>
        </w:rPr>
        <w:t xml:space="preserve">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spacing w:after="80"/>
        <w:jc w:val="both"/>
      </w:pPr>
      <w:r>
        <w:rPr>
          <w:i w:val="false"/>
          <w:iCs w:val="false"/>
          <w:sz w:val="22"/>
          <w:szCs w:val="22"/>
        </w:rPr>
        <w:t xml:space="preserve">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keepNext/>
        <w:spacing w:after="80" w:before="200"/>
      </w:pPr>
      <w:r>
        <w:rPr>
          <w:b/>
          <w:bCs/>
          <w:sz w:val="20"/>
          <w:szCs w:val="20"/>
        </w:rPr>
        <w:t xml:space="preserve">Tableau VI.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test pour toutes, sauf les jours où il manque quelque chose</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à l'inverse des besoins ; la séance collective, égale pour les présentes, ne restitue aucun résultat.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 ; l'autosurveillance après le diagnostic reste réservée aux ménages aisés.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Les intrants rendent le test initial régulier, pas le contrôle tardif ni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Les relais communautaires prolongent le dépistage ; l'alerte des ASM organise l'urgence, pas le contrôle.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 tableau VI.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2026-10-03T07:43:17.924Z</dcterms:created>
  <dcterms:modified xsi:type="dcterms:W3CDTF">2026-10-03T07:43:17.924Z</dcterms:modified>
</cp:coreProperties>
</file>

<file path=docProps/custom.xml><?xml version="1.0" encoding="utf-8"?>
<Properties xmlns="http://schemas.openxmlformats.org/officeDocument/2006/custom-properties" xmlns:vt="http://schemas.openxmlformats.org/officeDocument/2006/docPropsVTypes"/>
</file>