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Annexes de collecte remplies</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Ce document contient les outils de collecte du protocole renseignés par des données simulées :</w:t>
      </w:r>
    </w:p>
    <w:p>
      <w:pPr>
        <w:spacing w:after="80"/>
        <w:rPr>
          <w:sz w:val="20"/>
          <w:szCs w:val="20"/>
        </w:rPr>
      </w:pPr>
      <w:r>
        <w:rPr>
          <w:sz w:val="20"/>
          <w:szCs w:val="20"/>
        </w:rPr>
        <w:t xml:space="preserve">· Annexe 3 — fiche de données sociodémographiques et professionnelles (dix fiches)</w:t>
      </w:r>
    </w:p>
    <w:p>
      <w:pPr>
        <w:spacing w:after="80"/>
        <w:rPr>
          <w:sz w:val="20"/>
          <w:szCs w:val="20"/>
        </w:rPr>
      </w:pPr>
      <w:r>
        <w:rPr>
          <w:sz w:val="20"/>
          <w:szCs w:val="20"/>
        </w:rPr>
        <w:t xml:space="preserve">· Annexe 2 — guide d'observation du service (cinq grilles)</w:t>
      </w:r>
    </w:p>
    <w:p>
      <w:pPr>
        <w:spacing w:after="80"/>
        <w:rPr>
          <w:sz w:val="20"/>
          <w:szCs w:val="20"/>
        </w:rPr>
      </w:pPr>
      <w:r>
        <w:rPr>
          <w:sz w:val="20"/>
          <w:szCs w:val="20"/>
        </w:rPr>
        <w:t xml:space="preserve">· Synthèse de l'échantillon au regard du Tableau II (matrice de variation)</w:t>
      </w:r>
    </w:p>
    <w:p>
      <w:pPr>
        <w:spacing w:after="80"/>
        <w:rPr>
          <w:sz w:val="20"/>
          <w:szCs w:val="20"/>
        </w:rPr>
      </w:pPr>
      <w:r>
        <w:rPr>
          <w:sz w:val="20"/>
          <w:szCs w:val="20"/>
        </w:rPr>
        <w:t xml:space="preserve"/>
      </w:r>
    </w:p>
    <w:p>
      <w:pPr>
        <w:spacing w:after="80"/>
        <w:rPr>
          <w:sz w:val="20"/>
          <w:szCs w:val="20"/>
        </w:rPr>
      </w:pPr>
      <w:r>
        <w:rPr>
          <w:sz w:val="20"/>
          <w:szCs w:val="20"/>
        </w:rPr>
        <w:t xml:space="preserve">Tous les champs sont éditables : le document est destiné à servir de gabarit pour la collecte réelle.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5 infirmiers et 5 sages-femmes, 5 centres de santé codés (CS02, CS03, CS07, CS11, CS14)</w:t>
            </w:r>
          </w:p>
        </w:tc>
      </w:tr>
    </w:tbl>
    <w:p>
      <w:r>
        <w:br w:type="page"/>
      </w:r>
    </w:p>
    <w:p>
      <w:pPr>
        <w:pStyle w:val="Heading1"/>
        <w:spacing w:after="160" w:before="280"/>
      </w:pPr>
      <w:r>
        <w:t xml:space="preserve">1. Synthèse de l'échantillon simulé</w:t>
      </w:r>
    </w:p>
    <w:p>
      <w:pPr>
        <w:rPr>
          <w:sz w:val="20"/>
          <w:szCs w:val="20"/>
        </w:rPr>
      </w:pPr>
      <w:r>
        <w:rPr>
          <w:sz w:val="20"/>
          <w:szCs w:val="20"/>
        </w:rPr>
        <w:t xml:space="preserve">Le protocole (§ 4.2.3.2, Tableau II) prescrit un échantillonnage raisonné à variation maximale portant sur sept dimensions. Le tableau ci-dessous récapitule l'échantillon simulé et permet de vérifier, d'un coup d'œil, que chaque modalité est représentée — c'est le contrôle à faire pendant la collecte réelle, après chaque 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1200"/>
        <w:gridCol w:w="800"/>
        <w:gridCol w:w="1000"/>
        <w:gridCol w:w="900"/>
        <w:gridCol w:w="900"/>
        <w:gridCol w:w="826"/>
        <w:gridCol w:w="1000"/>
        <w:gridCol w:w="900"/>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826"/>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Form. MNT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00"/>
            <w:tcMar>
              <w:top w:type="dxa" w:w="60"/>
              <w:left w:type="dxa" w:w="100"/>
              <w:bottom w:type="dxa" w:w="60"/>
              <w:right w:type="dxa" w:w="100"/>
            </w:tcMar>
          </w:tcPr>
          <w:p>
            <w:r>
              <w:rPr>
                <w:b w:val="false"/>
                <w:bCs w:val="false"/>
                <w:i w:val="false"/>
                <w:iCs w:val="false"/>
                <w:sz w:val="19"/>
                <w:szCs w:val="19"/>
              </w:rPr>
              <w:t xml:space="preserve">infirmier</w:t>
            </w:r>
          </w:p>
        </w:tc>
        <w:tc>
          <w:tcPr>
            <w:tcW w:type="dxa" w:w="80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26"/>
            <w:tcMar>
              <w:top w:type="dxa" w:w="60"/>
              <w:left w:type="dxa" w:w="100"/>
              <w:bottom w:type="dxa" w:w="60"/>
              <w:right w:type="dxa" w:w="100"/>
            </w:tcMar>
          </w:tcPr>
          <w:p>
            <w:r>
              <w:rPr>
                <w:b w:val="false"/>
                <w:bCs w:val="false"/>
                <w:i w:val="false"/>
                <w:iCs w:val="false"/>
                <w:sz w:val="19"/>
                <w:szCs w:val="19"/>
              </w:rPr>
              <w:t xml:space="preserve">élevé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00"/>
            <w:tcMar>
              <w:top w:type="dxa" w:w="60"/>
              <w:left w:type="dxa" w:w="100"/>
              <w:bottom w:type="dxa" w:w="60"/>
              <w:right w:type="dxa" w:w="100"/>
            </w:tcMar>
          </w:tcPr>
          <w:p>
            <w:r>
              <w:rPr>
                <w:b w:val="false"/>
                <w:bCs w:val="false"/>
                <w:i w:val="false"/>
                <w:iCs w:val="false"/>
                <w:sz w:val="19"/>
                <w:szCs w:val="19"/>
              </w:rPr>
              <w:t xml:space="preserve">sage-femme</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26"/>
            <w:tcMar>
              <w:top w:type="dxa" w:w="60"/>
              <w:left w:type="dxa" w:w="100"/>
              <w:bottom w:type="dxa" w:w="60"/>
              <w:right w:type="dxa" w:w="100"/>
            </w:tcMar>
          </w:tcPr>
          <w:p>
            <w:r>
              <w:rPr>
                <w:b w:val="false"/>
                <w:bCs w:val="false"/>
                <w:i w:val="false"/>
                <w:iCs w:val="false"/>
                <w:sz w:val="19"/>
                <w:szCs w:val="19"/>
              </w:rPr>
              <w:t xml:space="preserve">élevé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9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00"/>
            <w:tcMar>
              <w:top w:type="dxa" w:w="60"/>
              <w:left w:type="dxa" w:w="100"/>
              <w:bottom w:type="dxa" w:w="60"/>
              <w:right w:type="dxa" w:w="100"/>
            </w:tcMar>
          </w:tcPr>
          <w:p>
            <w:r>
              <w:rPr>
                <w:b w:val="false"/>
                <w:bCs w:val="false"/>
                <w:i w:val="false"/>
                <w:iCs w:val="false"/>
                <w:sz w:val="19"/>
                <w:szCs w:val="19"/>
              </w:rPr>
              <w:t xml:space="preserve">sage-femme</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90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26"/>
            <w:tcMar>
              <w:top w:type="dxa" w:w="60"/>
              <w:left w:type="dxa" w:w="100"/>
              <w:bottom w:type="dxa" w:w="60"/>
              <w:right w:type="dxa" w:w="100"/>
            </w:tcMar>
          </w:tcPr>
          <w:p>
            <w:r>
              <w:rPr>
                <w:b w:val="false"/>
                <w:bCs w:val="false"/>
                <w:i w:val="false"/>
                <w:iCs w:val="false"/>
                <w:sz w:val="19"/>
                <w:szCs w:val="19"/>
              </w:rPr>
              <w:t xml:space="preserve">modéré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00"/>
            <w:tcMar>
              <w:top w:type="dxa" w:w="60"/>
              <w:left w:type="dxa" w:w="100"/>
              <w:bottom w:type="dxa" w:w="60"/>
              <w:right w:type="dxa" w:w="100"/>
            </w:tcMar>
          </w:tcPr>
          <w:p>
            <w:r>
              <w:rPr>
                <w:b w:val="false"/>
                <w:bCs w:val="false"/>
                <w:i w:val="false"/>
                <w:iCs w:val="false"/>
                <w:sz w:val="19"/>
                <w:szCs w:val="19"/>
              </w:rPr>
              <w:t xml:space="preserve">infirmier</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26"/>
            <w:tcMar>
              <w:top w:type="dxa" w:w="60"/>
              <w:left w:type="dxa" w:w="100"/>
              <w:bottom w:type="dxa" w:w="60"/>
              <w:right w:type="dxa" w:w="100"/>
            </w:tcMar>
          </w:tcPr>
          <w:p>
            <w:r>
              <w:rPr>
                <w:b w:val="false"/>
                <w:bCs w:val="false"/>
                <w:i w:val="false"/>
                <w:iCs w:val="false"/>
                <w:sz w:val="19"/>
                <w:szCs w:val="19"/>
              </w:rPr>
              <w:t xml:space="preserve">modéré</w:t>
            </w:r>
          </w:p>
        </w:tc>
        <w:tc>
          <w:tcPr>
            <w:tcW w:type="dxa" w:w="1000"/>
            <w:tcMar>
              <w:top w:type="dxa" w:w="60"/>
              <w:left w:type="dxa" w:w="100"/>
              <w:bottom w:type="dxa" w:w="60"/>
              <w:right w:type="dxa" w:w="100"/>
            </w:tcMar>
          </w:tcPr>
          <w:p>
            <w:r>
              <w:rPr>
                <w:b w:val="false"/>
                <w:bCs w:val="false"/>
                <w:i w:val="false"/>
                <w:iCs w:val="false"/>
                <w:sz w:val="19"/>
                <w:szCs w:val="19"/>
              </w:rPr>
              <w:t xml:space="preserve">ne sait pas</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00"/>
            <w:tcMar>
              <w:top w:type="dxa" w:w="60"/>
              <w:left w:type="dxa" w:w="100"/>
              <w:bottom w:type="dxa" w:w="60"/>
              <w:right w:type="dxa" w:w="100"/>
            </w:tcMar>
          </w:tcPr>
          <w:p>
            <w:r>
              <w:rPr>
                <w:b w:val="false"/>
                <w:bCs w:val="false"/>
                <w:i w:val="false"/>
                <w:iCs w:val="false"/>
                <w:sz w:val="19"/>
                <w:szCs w:val="19"/>
              </w:rPr>
              <w:t xml:space="preserve">infirmier</w:t>
            </w:r>
          </w:p>
        </w:tc>
        <w:tc>
          <w:tcPr>
            <w:tcW w:type="dxa" w:w="80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26"/>
            <w:tcMar>
              <w:top w:type="dxa" w:w="60"/>
              <w:left w:type="dxa" w:w="100"/>
              <w:bottom w:type="dxa" w:w="60"/>
              <w:right w:type="dxa" w:w="100"/>
            </w:tcMar>
          </w:tcPr>
          <w:p>
            <w:r>
              <w:rPr>
                <w:b w:val="false"/>
                <w:bCs w:val="false"/>
                <w:i w:val="false"/>
                <w:iCs w:val="false"/>
                <w:sz w:val="19"/>
                <w:szCs w:val="19"/>
              </w:rPr>
              <w:t xml:space="preserve">modéré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00"/>
            <w:tcMar>
              <w:top w:type="dxa" w:w="60"/>
              <w:left w:type="dxa" w:w="100"/>
              <w:bottom w:type="dxa" w:w="60"/>
              <w:right w:type="dxa" w:w="100"/>
            </w:tcMar>
          </w:tcPr>
          <w:p>
            <w:r>
              <w:rPr>
                <w:b w:val="false"/>
                <w:bCs w:val="false"/>
                <w:i w:val="false"/>
                <w:iCs w:val="false"/>
                <w:sz w:val="19"/>
                <w:szCs w:val="19"/>
              </w:rPr>
              <w:t xml:space="preserve">sage-femme</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90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26"/>
            <w:tcMar>
              <w:top w:type="dxa" w:w="60"/>
              <w:left w:type="dxa" w:w="100"/>
              <w:bottom w:type="dxa" w:w="60"/>
              <w:right w:type="dxa" w:w="100"/>
            </w:tcMar>
          </w:tcPr>
          <w:p>
            <w:r>
              <w:rPr>
                <w:b w:val="false"/>
                <w:bCs w:val="false"/>
                <w:i w:val="false"/>
                <w:iCs w:val="false"/>
                <w:sz w:val="19"/>
                <w:szCs w:val="19"/>
              </w:rPr>
              <w:t xml:space="preserve">modéré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00"/>
            <w:tcMar>
              <w:top w:type="dxa" w:w="60"/>
              <w:left w:type="dxa" w:w="100"/>
              <w:bottom w:type="dxa" w:w="60"/>
              <w:right w:type="dxa" w:w="100"/>
            </w:tcMar>
          </w:tcPr>
          <w:p>
            <w:r>
              <w:rPr>
                <w:b w:val="false"/>
                <w:bCs w:val="false"/>
                <w:i w:val="false"/>
                <w:iCs w:val="false"/>
                <w:sz w:val="19"/>
                <w:szCs w:val="19"/>
              </w:rPr>
              <w:t xml:space="preserve">sage-femme</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26"/>
            <w:tcMar>
              <w:top w:type="dxa" w:w="60"/>
              <w:left w:type="dxa" w:w="100"/>
              <w:bottom w:type="dxa" w:w="60"/>
              <w:right w:type="dxa" w:w="100"/>
            </w:tcMar>
          </w:tcPr>
          <w:p>
            <w:r>
              <w:rPr>
                <w:b w:val="false"/>
                <w:bCs w:val="false"/>
                <w:i w:val="false"/>
                <w:iCs w:val="false"/>
                <w:sz w:val="19"/>
                <w:szCs w:val="19"/>
              </w:rPr>
              <w:t xml:space="preserve">élevé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9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00"/>
            <w:tcMar>
              <w:top w:type="dxa" w:w="60"/>
              <w:left w:type="dxa" w:w="100"/>
              <w:bottom w:type="dxa" w:w="60"/>
              <w:right w:type="dxa" w:w="100"/>
            </w:tcMar>
          </w:tcPr>
          <w:p>
            <w:r>
              <w:rPr>
                <w:b w:val="false"/>
                <w:bCs w:val="false"/>
                <w:i w:val="false"/>
                <w:iCs w:val="false"/>
                <w:sz w:val="19"/>
                <w:szCs w:val="19"/>
              </w:rPr>
              <w:t xml:space="preserve">infirmier</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90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26"/>
            <w:tcMar>
              <w:top w:type="dxa" w:w="60"/>
              <w:left w:type="dxa" w:w="100"/>
              <w:bottom w:type="dxa" w:w="60"/>
              <w:right w:type="dxa" w:w="100"/>
            </w:tcMar>
          </w:tcPr>
          <w:p>
            <w:r>
              <w:rPr>
                <w:b w:val="false"/>
                <w:bCs w:val="false"/>
                <w:i w:val="false"/>
                <w:iCs w:val="false"/>
                <w:sz w:val="19"/>
                <w:szCs w:val="19"/>
              </w:rPr>
              <w:t xml:space="preserve">élevé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00"/>
            <w:tcMar>
              <w:top w:type="dxa" w:w="60"/>
              <w:left w:type="dxa" w:w="100"/>
              <w:bottom w:type="dxa" w:w="60"/>
              <w:right w:type="dxa" w:w="100"/>
            </w:tcMar>
          </w:tcPr>
          <w:p>
            <w:r>
              <w:rPr>
                <w:b w:val="false"/>
                <w:bCs w:val="false"/>
                <w:i w:val="false"/>
                <w:iCs w:val="false"/>
                <w:sz w:val="19"/>
                <w:szCs w:val="19"/>
              </w:rPr>
              <w:t xml:space="preserve">infirmier</w:t>
            </w:r>
          </w:p>
        </w:tc>
        <w:tc>
          <w:tcPr>
            <w:tcW w:type="dxa" w:w="80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26"/>
            <w:tcMar>
              <w:top w:type="dxa" w:w="60"/>
              <w:left w:type="dxa" w:w="100"/>
              <w:bottom w:type="dxa" w:w="60"/>
              <w:right w:type="dxa" w:w="100"/>
            </w:tcMar>
          </w:tcPr>
          <w:p>
            <w:r>
              <w:rPr>
                <w:b w:val="false"/>
                <w:bCs w:val="false"/>
                <w:i w:val="false"/>
                <w:iCs w:val="false"/>
                <w:sz w:val="19"/>
                <w:szCs w:val="19"/>
              </w:rPr>
              <w:t xml:space="preserve">modéré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00"/>
            <w:tcMar>
              <w:top w:type="dxa" w:w="60"/>
              <w:left w:type="dxa" w:w="100"/>
              <w:bottom w:type="dxa" w:w="60"/>
              <w:right w:type="dxa" w:w="100"/>
            </w:tcMar>
          </w:tcPr>
          <w:p>
            <w:r>
              <w:rPr>
                <w:b w:val="false"/>
                <w:bCs w:val="false"/>
                <w:i w:val="false"/>
                <w:iCs w:val="false"/>
                <w:sz w:val="19"/>
                <w:szCs w:val="19"/>
              </w:rPr>
              <w:t xml:space="preserve">sage-femme</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26"/>
            <w:tcMar>
              <w:top w:type="dxa" w:w="60"/>
              <w:left w:type="dxa" w:w="100"/>
              <w:bottom w:type="dxa" w:w="60"/>
              <w:right w:type="dxa" w:w="100"/>
            </w:tcMar>
          </w:tcPr>
          <w:p>
            <w:r>
              <w:rPr>
                <w:b w:val="false"/>
                <w:bCs w:val="false"/>
                <w:i w:val="false"/>
                <w:iCs w:val="false"/>
                <w:sz w:val="19"/>
                <w:szCs w:val="19"/>
              </w:rPr>
              <w:t xml:space="preserve">modéré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bl>
    <w:p/>
    <w:p>
      <w:pPr>
        <w:pStyle w:val="Heading2"/>
        <w:spacing w:after="120" w:before="220"/>
      </w:pPr>
      <w:r>
        <w:t xml:space="preserve">Couverture des sept dimensions de variation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Dimension (Tableau II)</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4426"/>
            <w:shd w:fill="E8EDF2" w:color="auto" w:val="clear"/>
            <w:tcMar>
              <w:top w:type="dxa" w:w="60"/>
              <w:left w:type="dxa" w:w="100"/>
              <w:bottom w:type="dxa" w:w="60"/>
              <w:right w:type="dxa" w:w="100"/>
            </w:tcMar>
          </w:tcPr>
          <w:p>
            <w:r>
              <w:rPr>
                <w:b/>
                <w:bCs/>
                <w:i w:val="false"/>
                <w:iCs w:val="false"/>
                <w:sz w:val="19"/>
                <w:szCs w:val="19"/>
              </w:rPr>
              <w:t xml:space="preserve">Couverture dans l'échantillon simulé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Qualification</w:t>
            </w:r>
          </w:p>
        </w:tc>
        <w:tc>
          <w:tcPr>
            <w:tcW w:type="dxa" w:w="24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4426"/>
            <w:tcMar>
              <w:top w:type="dxa" w:w="60"/>
              <w:left w:type="dxa" w:w="100"/>
              <w:bottom w:type="dxa" w:w="60"/>
              <w:right w:type="dxa" w:w="100"/>
            </w:tcMar>
          </w:tcPr>
          <w:p>
            <w:r>
              <w:rPr>
                <w:b w:val="false"/>
                <w:bCs w:val="false"/>
                <w:i w:val="false"/>
                <w:iCs w:val="false"/>
                <w:sz w:val="19"/>
                <w:szCs w:val="19"/>
              </w:rPr>
              <w:t xml:space="preserve">5 infirmiers ou infirmières (P01, P04, P05, P08, P09) · 5 sages-femmes (P02, P03, P06, P07, P10)</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Fonction</w:t>
            </w:r>
          </w:p>
        </w:tc>
        <w:tc>
          <w:tcPr>
            <w:tcW w:type="dxa" w:w="24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4426"/>
            <w:tcMar>
              <w:top w:type="dxa" w:w="60"/>
              <w:left w:type="dxa" w:w="100"/>
              <w:bottom w:type="dxa" w:w="60"/>
              <w:right w:type="dxa" w:w="100"/>
            </w:tcMar>
          </w:tcPr>
          <w:p>
            <w:r>
              <w:rPr>
                <w:b w:val="false"/>
                <w:bCs w:val="false"/>
                <w:i w:val="false"/>
                <w:iCs w:val="false"/>
                <w:sz w:val="19"/>
                <w:szCs w:val="19"/>
              </w:rPr>
              <w:t xml:space="preserve">3 titulaires (P01, P05, P09) · 7 prestataires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Ancienneté en CPN</w:t>
            </w:r>
          </w:p>
        </w:tc>
        <w:tc>
          <w:tcPr>
            <w:tcW w:type="dxa" w:w="2400"/>
            <w:tcMar>
              <w:top w:type="dxa" w:w="60"/>
              <w:left w:type="dxa" w:w="100"/>
              <w:bottom w:type="dxa" w:w="60"/>
              <w:right w:type="dxa" w:w="100"/>
            </w:tcMar>
          </w:tcPr>
          <w:p>
            <w:r>
              <w:rPr>
                <w:b w:val="false"/>
                <w:bCs w:val="false"/>
                <w:i w:val="false"/>
                <w:iCs w:val="false"/>
                <w:sz w:val="19"/>
                <w:szCs w:val="19"/>
              </w:rPr>
              <w:t xml:space="preserve">6 mois-2 ans ; plus de 2 ans</w:t>
            </w:r>
          </w:p>
        </w:tc>
        <w:tc>
          <w:tcPr>
            <w:tcW w:type="dxa" w:w="4426"/>
            <w:tcMar>
              <w:top w:type="dxa" w:w="60"/>
              <w:left w:type="dxa" w:w="100"/>
              <w:bottom w:type="dxa" w:w="60"/>
              <w:right w:type="dxa" w:w="100"/>
            </w:tcMar>
          </w:tcPr>
          <w:p>
            <w:r>
              <w:rPr>
                <w:b w:val="false"/>
                <w:bCs w:val="false"/>
                <w:i w:val="false"/>
                <w:iCs w:val="false"/>
                <w:sz w:val="19"/>
                <w:szCs w:val="19"/>
              </w:rPr>
              <w:t xml:space="preserve">3 de 6 mois à 2 ans (P03, P06, P08) · 7 de plus de 2 ans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24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4426"/>
            <w:tcMar>
              <w:top w:type="dxa" w:w="60"/>
              <w:left w:type="dxa" w:w="100"/>
              <w:bottom w:type="dxa" w:w="60"/>
              <w:right w:type="dxa" w:w="100"/>
            </w:tcMar>
          </w:tcPr>
          <w:p>
            <w:r>
              <w:rPr>
                <w:b w:val="false"/>
                <w:bCs w:val="false"/>
                <w:i w:val="false"/>
                <w:iCs w:val="false"/>
                <w:sz w:val="19"/>
                <w:szCs w:val="19"/>
              </w:rPr>
              <w:t xml:space="preserve">4 urbains (CS02, CS03) · 6 ruraux (CS07, CS11, CS14)</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2400"/>
            <w:tcMar>
              <w:top w:type="dxa" w:w="60"/>
              <w:left w:type="dxa" w:w="100"/>
              <w:bottom w:type="dxa" w:w="60"/>
              <w:right w:type="dxa" w:w="100"/>
            </w:tcMar>
          </w:tcPr>
          <w:p>
            <w:r>
              <w:rPr>
                <w:b w:val="false"/>
                <w:bCs w:val="false"/>
                <w:i w:val="false"/>
                <w:iCs w:val="false"/>
                <w:sz w:val="19"/>
                <w:szCs w:val="19"/>
              </w:rPr>
              <w:t xml:space="preserve">Proche ; éloignée</w:t>
            </w:r>
          </w:p>
        </w:tc>
        <w:tc>
          <w:tcPr>
            <w:tcW w:type="dxa" w:w="4426"/>
            <w:tcMar>
              <w:top w:type="dxa" w:w="60"/>
              <w:left w:type="dxa" w:w="100"/>
              <w:bottom w:type="dxa" w:w="60"/>
              <w:right w:type="dxa" w:w="100"/>
            </w:tcMar>
          </w:tcPr>
          <w:p>
            <w:r>
              <w:rPr>
                <w:b w:val="false"/>
                <w:bCs w:val="false"/>
                <w:i w:val="false"/>
                <w:iCs w:val="false"/>
                <w:sz w:val="19"/>
                <w:szCs w:val="19"/>
              </w:rPr>
              <w:t xml:space="preserve">4 proches · 6 éloignés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2400"/>
            <w:tcMar>
              <w:top w:type="dxa" w:w="60"/>
              <w:left w:type="dxa" w:w="100"/>
              <w:bottom w:type="dxa" w:w="60"/>
              <w:right w:type="dxa" w:w="100"/>
            </w:tcMar>
          </w:tcPr>
          <w:p>
            <w:r>
              <w:rPr>
                <w:b w:val="false"/>
                <w:bCs w:val="false"/>
                <w:i w:val="false"/>
                <w:iCs w:val="false"/>
                <w:sz w:val="19"/>
                <w:szCs w:val="19"/>
              </w:rPr>
              <w:t xml:space="preserve">Élevé ; modéré</w:t>
            </w:r>
          </w:p>
        </w:tc>
        <w:tc>
          <w:tcPr>
            <w:tcW w:type="dxa" w:w="4426"/>
            <w:tcMar>
              <w:top w:type="dxa" w:w="60"/>
              <w:left w:type="dxa" w:w="100"/>
              <w:bottom w:type="dxa" w:w="60"/>
              <w:right w:type="dxa" w:w="100"/>
            </w:tcMar>
          </w:tcPr>
          <w:p>
            <w:r>
              <w:rPr>
                <w:b w:val="false"/>
                <w:bCs w:val="false"/>
                <w:i w:val="false"/>
                <w:iCs w:val="false"/>
                <w:sz w:val="19"/>
                <w:szCs w:val="19"/>
              </w:rPr>
              <w:t xml:space="preserve">4 en volume élevé · 6 en volume modéré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24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4426"/>
            <w:tcMar>
              <w:top w:type="dxa" w:w="60"/>
              <w:left w:type="dxa" w:w="100"/>
              <w:bottom w:type="dxa" w:w="60"/>
              <w:right w:type="dxa" w:w="100"/>
            </w:tcMar>
          </w:tcPr>
          <w:p>
            <w:r>
              <w:rPr>
                <w:b w:val="false"/>
                <w:bCs w:val="false"/>
                <w:i w:val="false"/>
                <w:iCs w:val="false"/>
                <w:sz w:val="19"/>
                <w:szCs w:val="19"/>
              </w:rPr>
              <w:t xml:space="preserve">6 en secteur de pauvreté plus élevée · 4 en secteur de pauvreté plus faible</w:t>
            </w:r>
          </w:p>
        </w:tc>
      </w:tr>
    </w:tbl>
    <w:p/>
    <w:p>
      <w:pPr>
        <w:rPr>
          <w:i/>
          <w:iCs/>
          <w:sz w:val="20"/>
          <w:szCs w:val="20"/>
        </w:rPr>
      </w:pPr>
      <w:r>
        <w:rPr>
          <w:i/>
          <w:iCs/>
          <w:sz w:val="20"/>
          <w:szCs w:val="20"/>
        </w:rPr>
        <w:t xml:space="preserve">Point de vigilance pour la collecte réelle : l'effectif retenu au protocole est de seize à vingt-quatre participants, à raison d'un à deux par centre sur les seize centres du district. Les dix participants simulés ici ne satisfont donc PAS le critère de suffisance informationnelle du § 4.2.3.1 ; ils suffisent à l'apprentissage de l'outil, pas à une analyse.</w:t>
      </w:r>
    </w:p>
    <w:p>
      <w:r>
        <w:br w:type="page"/>
      </w:r>
    </w:p>
    <w:p>
      <w:pPr>
        <w:pStyle w:val="Heading1"/>
        <w:spacing w:after="160" w:before="280"/>
      </w:pPr>
      <w:r>
        <w:t xml:space="preserve">2. Annexe 3 — Fiches de données sociodémographiques et professionnelles</w:t>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r>
        <w:br w:type="page"/>
      </w:r>
    </w:p>
    <w:p>
      <w:pPr>
        <w:pStyle w:val="Heading1"/>
        <w:spacing w:after="160" w:before="280"/>
      </w:pPr>
      <w:r>
        <w:t xml:space="preserve">3. Annexe 2 — Guides d'observation du service remplis</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(test de contrôle effectué par l'équipe le matin)</w:t>
            </w:r>
          </w:p>
        </w:tc>
        <w:tc>
          <w:tcPr>
            <w:tcW w:type="dxa" w:w="3026"/>
            <w:tcMar>
              <w:top w:type="dxa" w:w="60"/>
              <w:left w:type="dxa" w:w="100"/>
              <w:bottom w:type="dxa" w:w="60"/>
              <w:right w:type="dxa" w:w="100"/>
            </w:tcMar>
          </w:tcPr>
          <w:p>
            <w:r>
              <w:rPr>
                <w:b w:val="false"/>
                <w:bCs w:val="false"/>
                <w:i w:val="false"/>
                <w:iCs w:val="false"/>
                <w:sz w:val="19"/>
                <w:szCs w:val="19"/>
              </w:rPr>
              <w:t xml:space="preserve">Non utilisé pendant la demi-journée.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Dernier flacon périmé en mars 2026, conservé dans le tiroir.</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40</w:t>
            </w:r>
          </w:p>
        </w:tc>
        <w:tc>
          <w:tcPr>
            <w:tcW w:type="dxa" w:w="2400"/>
            <w:tcMar>
              <w:top w:type="dxa" w:w="60"/>
              <w:left w:type="dxa" w:w="100"/>
              <w:bottom w:type="dxa" w:w="60"/>
              <w:right w:type="dxa" w:w="100"/>
            </w:tcMar>
          </w:tcPr>
          <w:p>
            <w:r>
              <w:rPr>
                <w:b w:val="false"/>
                <w:bCs w:val="false"/>
                <w:i w:val="false"/>
                <w:iCs w:val="false"/>
                <w:sz w:val="19"/>
                <w:szCs w:val="19"/>
              </w:rPr>
              <w:t xml:space="preserve">péremption 08/2027</w:t>
            </w:r>
          </w:p>
        </w:tc>
        <w:tc>
          <w:tcPr>
            <w:tcW w:type="dxa" w:w="30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rupture continue signalée par l'équipe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Aucune colonne glycémie dans le registre en usage.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12</w:t>
            </w:r>
          </w:p>
        </w:tc>
        <w:tc>
          <w:tcPr>
            <w:tcW w:type="dxa" w:w="2400"/>
            <w:tcMar>
              <w:top w:type="dxa" w:w="60"/>
              <w:left w:type="dxa" w:w="100"/>
              <w:bottom w:type="dxa" w:w="60"/>
              <w:right w:type="dxa" w:w="100"/>
            </w:tcMar>
          </w:tcPr>
          <w:p>
            <w:r>
              <w:rPr>
                <w:b w:val="false"/>
                <w:bCs w:val="false"/>
                <w:i w:val="false"/>
                <w:iCs w:val="false"/>
                <w:sz w:val="19"/>
                <w:szCs w:val="19"/>
              </w:rPr>
              <w:t xml:space="preserve">péremption 11/2026</w:t>
            </w:r>
          </w:p>
        </w:tc>
        <w:tc>
          <w:tcPr>
            <w:tcW w:type="dxa" w:w="3026"/>
            <w:tcMar>
              <w:top w:type="dxa" w:w="60"/>
              <w:left w:type="dxa" w:w="100"/>
              <w:bottom w:type="dxa" w:w="60"/>
              <w:right w:type="dxa" w:w="100"/>
            </w:tcMar>
          </w:tcPr>
          <w:p>
            <w:r>
              <w:rPr>
                <w:b w:val="false"/>
                <w:bCs w:val="false"/>
                <w:i w:val="false"/>
                <w:iCs w:val="false"/>
                <w:sz w:val="19"/>
                <w:szCs w:val="19"/>
              </w:rPr>
              <w:t xml:space="preserve">Stock faible ; l'équipe déclare les réserver aux femmes présentant des facteurs de risque.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60</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complets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Colonne glycémie présente mais renseignée sur une minorité de lignes.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Aucun appareil dans le centre. L'équipe indique que les glycémies se font à l'hôpital de district.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Sans objet en l'absence d'appareil.</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20</w:t>
            </w:r>
          </w:p>
        </w:tc>
        <w:tc>
          <w:tcPr>
            <w:tcW w:type="dxa" w:w="2400"/>
            <w:tcMar>
              <w:top w:type="dxa" w:w="60"/>
              <w:left w:type="dxa" w:w="100"/>
              <w:bottom w:type="dxa" w:w="60"/>
              <w:right w:type="dxa" w:w="100"/>
            </w:tcMar>
          </w:tcPr>
          <w:p>
            <w:r>
              <w:rPr>
                <w:b w:val="false"/>
                <w:bCs w:val="false"/>
                <w:i w:val="false"/>
                <w:iCs w:val="false"/>
                <w:sz w:val="19"/>
                <w:szCs w:val="19"/>
              </w:rPr>
              <w:t xml:space="preserve">péremption 05/2027</w:t>
            </w:r>
          </w:p>
        </w:tc>
        <w:tc>
          <w:tcPr>
            <w:tcW w:type="dxa" w:w="30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Contraste net avec les entretiens : la jeune sage-femme de ce centre dit n'avoir jamais réalisé de glycémie — le constat matériel explique cette déclaration sans qu'il faille l'attribuer à sa pratique. Ma présence dans une salle unique a certainement pesé ; je me suis placé à l'extérieur du rideau après vingt minutes.</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30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Aucune depuis environ quatre mois selon l'équipe.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 usé</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8</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partiellement</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NON fonctionnel — message d'erreur persistant</w:t>
            </w:r>
          </w:p>
        </w:tc>
        <w:tc>
          <w:tcPr>
            <w:tcW w:type="dxa" w:w="3026"/>
            <w:tcMar>
              <w:top w:type="dxa" w:w="60"/>
              <w:left w:type="dxa" w:w="100"/>
              <w:bottom w:type="dxa" w:w="60"/>
              <w:right w:type="dxa" w:w="100"/>
            </w:tcMar>
          </w:tcPr>
          <w:p>
            <w:r>
              <w:rPr>
                <w:b w:val="false"/>
                <w:bCs w:val="false"/>
                <w:i w:val="false"/>
                <w:iCs w:val="false"/>
                <w:sz w:val="19"/>
                <w:szCs w:val="19"/>
              </w:rPr>
              <w:t xml:space="preserve">Appareil reçu il y a environ deux ans ; en panne depuis une date que l'équipe ne situe pas précisément.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25</w:t>
            </w:r>
          </w:p>
        </w:tc>
        <w:tc>
          <w:tcPr>
            <w:tcW w:type="dxa" w:w="2400"/>
            <w:tcMar>
              <w:top w:type="dxa" w:w="60"/>
              <w:left w:type="dxa" w:w="100"/>
              <w:bottom w:type="dxa" w:w="60"/>
              <w:right w:type="dxa" w:w="100"/>
            </w:tcMar>
          </w:tcPr>
          <w:p>
            <w:r>
              <w:rPr>
                <w:b w:val="false"/>
                <w:bCs w:val="false"/>
                <w:i w:val="false"/>
                <w:iCs w:val="false"/>
                <w:sz w:val="19"/>
                <w:szCs w:val="19"/>
              </w:rPr>
              <w:t xml:space="preserve">péremption 10/2026</w:t>
            </w:r>
          </w:p>
        </w:tc>
        <w:tc>
          <w:tcPr>
            <w:tcW w:type="dxa" w:w="30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sans objet faute d'appareil fonctionnel ; bandelettes urinaires reçues en petite quantité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en panne depuis une date indéterminée interroge le circuit de maintenance, que ni le guide d'entretien ni la grille n'avaient anticipé — élément à ajouter aux notes contextuelles.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2026-10-01T22:44:24.997Z</dcterms:created>
  <dcterms:modified xsi:type="dcterms:W3CDTF">2026-10-01T22:44:24.997Z</dcterms:modified>
</cp:coreProperties>
</file>

<file path=docProps/custom.xml><?xml version="1.0" encoding="utf-8"?>
<Properties xmlns="http://schemas.openxmlformats.org/officeDocument/2006/custom-properties" xmlns:vt="http://schemas.openxmlformats.org/officeDocument/2006/docPropsVTypes"/>
</file>