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3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260"/>
        <w:jc w:val="center"/>
      </w:pPr>
      <w:r>
        <w:rPr>
          <w:i/>
          <w:iCs/>
          <w:sz w:val="21"/>
          <w:szCs w:val="21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Conduire ce mémoire dans QualiCode</w:t>
      </w:r>
    </w:p>
    <w:p>
      <w:pPr>
        <w:spacing w:after="300"/>
        <w:jc w:val="center"/>
      </w:pPr>
      <w:r>
        <w:rPr>
          <w:color w:val="26567D"/>
          <w:sz w:val="22"/>
          <w:szCs w:val="22"/>
        </w:rPr>
        <w:t xml:space="preserve">Guide pas à pas, adossé au § 4.2.6 du protocole</w:t>
      </w:r>
    </w:p>
    <w:tbl>
      <w:tblPr>
        <w:tblW w:type="dxa" w:w="9026"/>
        <w:tblBorders>
          <w:top w:val="single" w:color="C0392B" w:sz="10"/>
          <w:left w:val="single" w:color="C0392B" w:sz="24"/>
          <w:bottom w:val="single" w:color="C0392B" w:sz="10"/>
          <w:right w:val="single" w:color="C0392B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DEC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C0392B"/>
                <w:sz w:val="22"/>
                <w:szCs w:val="22"/>
              </w:rPr>
              <w:t xml:space="preserve">⚠ Le projet d'exercice contient des données entièrement simulées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Les dix entretiens et les cinq observations livrés avec ce guide n'existent pas. Ils servent à apprendre les gestes de l'outil avant la collecte réelle.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Aucun extrait ne peut être cité. Aucun chiffre ne peut être rapporté. Aucun de ces documents ne doit être présenté à un comité d'éthique ou à un jury comme une donnée de terrain.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Quand la collecte réelle commencera, créez un projet NEUF (Accueil ▸ Nouveau projet). N'ajoutez jamais un entretien réel dans le projet d'exercice.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Avant tout : ne pas perdre le corpus</w:t>
      </w:r>
    </w:p>
    <w:p>
      <w:pPr>
        <w:spacing w:after="100"/>
      </w:pPr>
      <w:r>
        <w:rPr>
          <w:sz w:val="21"/>
          <w:szCs w:val="21"/>
        </w:rPr>
        <w:t xml:space="preserve">Cette section passe avant l'analyse, parce qu'un corpus perdu ne se refait pas. Un navigateur considère par défaut les données d'un site comme jetables : il peut les effacer pour libérer de la place, et Safari sur iPhone efface celles d'un site non installé après sept jours sans visite.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826"/>
      </w:tblGrid>
      <w:tr>
        <w:trPr>
          <w:tblHeader/>
        </w:trPr>
        <w:tc>
          <w:tcPr>
            <w:tcW w:type="dxa" w:w="29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faire</w:t>
            </w:r>
          </w:p>
        </w:tc>
        <w:tc>
          <w:tcPr>
            <w:tcW w:type="dxa" w:w="43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Pourquoi</w:t>
            </w:r>
          </w:p>
        </w:tc>
        <w:tc>
          <w:tcPr>
            <w:tcW w:type="dxa" w:w="18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Quand</w:t>
            </w:r>
          </w:p>
        </w:tc>
      </w:tr>
      <w:tr>
        <w:trPr>
          <w:tblHeader w:val="off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Installer QualiCode (bouton 📲 Installer l'application, onglet Accueil)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C'est l'installation qui obtient du navigateur le statut de stockage durable — et, sur iPhone, ce qui empêche l'effacement automatique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fois, maintenant</w:t>
            </w:r>
          </w:p>
        </w:tc>
      </w:tr>
      <w:tr>
        <w:trPr>
          <w:tblHeader w:val="off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Exporter le projet : Accueil ▸ Enregistrer (.projx)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C'est votre seule vraie sauvegarde. Le fichier .projx contient tout : documents, codes, segments, mémos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CHAQUE séance de travail</w:t>
            </w:r>
          </w:p>
        </w:tc>
      </w:tr>
      <w:tr>
        <w:trPr>
          <w:tblHeader w:val="off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Copier le .projx sur un autre support (clé USB, courriel à vous-même, cloud)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disque qui meurt emporte l'appareil et l'application avec lui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semaine</w:t>
            </w:r>
          </w:p>
        </w:tc>
      </w:tr>
      <w:tr>
        <w:trPr>
          <w:tblHeader w:val="off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 jamais travailler en navigation privée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est effacé à la fermeture de la fenêtre, sans avertissement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Toujours</w:t>
            </w:r>
          </w:p>
        </w:tc>
      </w:tr>
      <w:tr>
        <w:trPr>
          <w:tblHeader w:val="off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Vérifier le témoin en bas à droite : « ✓ Sauvegarde automatique effectuée »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S'il passe au rouge « NON ENREGISTRÉ », exportez immédiatement avant de fermer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D'un coup d'œil, en travaillant</w:t>
            </w:r>
          </w:p>
        </w:tc>
      </w:tr>
    </w:tbl>
    <w:p/>
    <w:p>
      <w:pPr>
        <w:spacing w:after="100"/>
      </w:pPr>
      <w:r>
        <w:rPr>
          <w:i/>
          <w:iCs/>
          <w:sz w:val="21"/>
          <w:szCs w:val="21"/>
        </w:rPr>
        <w:t xml:space="preserve">Repère de version : la barre d'état affiche l'empreinte de la version publiée (⟳ suivi d'un code et d'une date). Si une nouveauté semble absente, c'est la première chose à regarder.</w:t>
      </w:r>
    </w:p>
    <w:p>
      <w:r>
        <w:br w:type="page"/>
      </w:r>
    </w:p>
    <w:p>
      <w:pPr>
        <w:pStyle w:val="Heading1"/>
      </w:pPr>
      <w:r>
        <w:t xml:space="preserve">2. Ouvrir le projet d'exercice</w:t>
      </w:r>
    </w:p>
    <w:p>
      <w:pPr>
        <w:spacing w:after="100"/>
      </w:pPr>
      <w:r>
        <w:rPr>
          <w:sz w:val="21"/>
          <w:szCs w:val="21"/>
        </w:rPr>
        <w:t xml:space="preserve">Accueil ▸ Ouvrir (.projx), puis choisissez le fichier Memoire_Ngoma_SIMULATION.projx.</w:t>
      </w:r>
    </w:p>
    <w:p>
      <w:pPr>
        <w:spacing w:after="100"/>
      </w:pPr>
      <w:r>
        <w:rPr>
          <w:sz w:val="21"/>
          <w:szCs w:val="21"/>
        </w:rPr>
        <w:t xml:space="preserve">Vous devez voir apparaître, en bas de l'écran : 15 documents · 79 codes · 1 220 segments codés.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que contient le projet</w:t>
            </w:r>
          </w:p>
        </w:tc>
        <w:tc>
          <w:tcPr>
            <w:tcW w:type="dxa" w:w="44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Où le voir</w:t>
            </w:r>
          </w:p>
        </w:tc>
      </w:tr>
      <w:tr>
        <w:trPr>
          <w:tblHeader w:val="off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transcriptions d'entretiens + 5 comptes rendus d'observation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Volet « Système de documents », à gauche</w:t>
            </w:r>
          </w:p>
        </w:tc>
      </w:tr>
      <w:tr>
        <w:trPr>
          <w:tblHeader w:val="off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 codes en 11 familles, dont 21 créés en cours de codage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Volet « Système de codes », en bas à gauche</w:t>
            </w:r>
          </w:p>
        </w:tc>
      </w:tr>
      <w:tr>
        <w:trPr>
          <w:tblHeader w:val="off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 variables de document (qualification, secteur, ancienneté…)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Variables ▸ Éditeur de données</w:t>
            </w:r>
          </w:p>
        </w:tc>
      </w:tr>
      <w:tr>
        <w:trPr>
          <w:tblHeader w:val="off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mémos : journal de bord par entretien, mémos de phase, piste d'audit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Mémos ▸ Gestionnaire de mémos</w:t>
            </w:r>
          </w:p>
        </w:tc>
      </w:tr>
      <w:tr>
        <w:trPr>
          <w:tblHeader w:val="off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 requêtes sauvegardées correspondant aux thèmes provisoires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Analyse ▸ Requêtes sauvegardées</w:t>
            </w:r>
          </w:p>
        </w:tc>
      </w:tr>
      <w:tr>
        <w:trPr>
          <w:tblHeader w:val="off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carte conceptuelle reprenant la figure 1 du protocole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Visualisation ▸ Carte conceptuelle</w:t>
            </w:r>
          </w:p>
        </w:tc>
      </w:tr>
      <w:tr>
        <w:trPr>
          <w:tblHeader w:val="off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second codage (codeur C2) sur trois entretiens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Analyse ▸ Accord inter-codeurs (κ)</w:t>
            </w:r>
          </w:p>
        </w:tc>
      </w:tr>
    </w:tbl>
    <w:p/>
    <w:p>
      <w:pPr>
        <w:pStyle w:val="Heading2"/>
      </w:pPr>
      <w:r>
        <w:t xml:space="preserve">Les trois projets d'exercice</w:t>
      </w:r>
    </w:p>
    <w:p>
      <w:pPr>
        <w:spacing w:after="100"/>
      </w:pPr>
      <w:r>
        <w:rPr>
          <w:sz w:val="21"/>
          <w:szCs w:val="21"/>
        </w:rPr>
        <w:t xml:space="preserve">Une seconde vague simulée complète la première : onze participants (six sages-femmes, cinq infirmiers ou infirmières) dans les onze centres que la vague 1 ne couvrait pas. Trois fichiers en résultent :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626"/>
      </w:tblGrid>
      <w:tr>
        <w:trPr>
          <w:tblHeader/>
        </w:trPr>
        <w:tc>
          <w:tcPr>
            <w:tcW w:type="dxa" w:w="32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2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26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quoi il sert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Memoire_Ngoma_SIMULATION.projx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Vague 1 : 10 entretiens, 5 centres, 79 codes, 1 220 segments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Premiers gestes : coder, récupérer, annoter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Memoire_Ngoma_SIMULATION_vague2.projx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Vague 2 : 11 entretiens, 11 centres, 90 codes, 1 118 segments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Voir naître des codes inductifs sur un matériau neuf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Memoire_Ngoma_SIMULATION_complet.projx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deux vagues : 21 entretiens, 16 centres, 90 codes, 2 401 segments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L'analyse d'ensemble — c'est la configuration visée par le protocole</w:t>
            </w:r>
          </w:p>
        </w:tc>
      </w:tr>
    </w:tbl>
    <w:p/>
    <w:p>
      <w:pPr>
        <w:spacing w:after="100"/>
      </w:pPr>
      <w:r>
        <w:rPr>
          <w:sz w:val="21"/>
          <w:szCs w:val="21"/>
        </w:rPr>
        <w:t xml:space="preserve">Pour s'exercer à l'analyse elle-même — comparaison entre infirmiers et sages-femmes, revue des thèmes, suffisance informationnelle — ouvrez le projet complet. Il contient un mémo qui conduit l'exercice de suffisance informationnelle dimension par dimension, comme l'exige le § 4.2.3.1, et un mémo de positionnalité laissé VIDE : celui-là ne peut pas être simulé, il vous appartient.</w:t>
      </w:r>
    </w:p>
    <w:p/>
    <w:p>
      <w:pPr>
        <w:spacing w:after="100"/>
      </w:pPr>
      <w:r>
        <w:rPr>
          <w:i/>
          <w:iCs/>
          <w:sz w:val="21"/>
          <w:szCs w:val="21"/>
        </w:rPr>
        <w:t xml:space="preserve">Ce que la vague 2 apporte en propre : un centre bien doté (CS01) qui montre ce que change l'équipement — et ce qu'il ne change pas ; un registre rempli sans que les actes suivent (CS13) ; les agents de santé communautaire comme relais ; le recours aux guérisseurs tel que les prestataires le perçoivent ; des femmes mobiles que le suivi perd ; et une participante qui refuse de classer les femmes en catégories. Onze codes inductifs en sont nés, signalés « [inductif, vague 2] ».</w:t>
      </w:r>
    </w:p>
    <w:p>
      <w:r>
        <w:br w:type="page"/>
      </w:r>
    </w:p>
    <w:p>
      <w:pPr>
        <w:pStyle w:val="Heading1"/>
      </w:pPr>
      <w:r>
        <w:t xml:space="preserve">3. Les six phases de l'analyse thématique, dans l'outil</w:t>
      </w:r>
    </w:p>
    <w:p>
      <w:pPr>
        <w:spacing w:after="100"/>
      </w:pPr>
      <w:r>
        <w:rPr>
          <w:sz w:val="21"/>
          <w:szCs w:val="21"/>
        </w:rPr>
        <w:t xml:space="preserve">Le § 4.2.6 du protocole retient les six phases de Braun et Clarke, en approche hybride. Voici où chacune se joue dans QualiCode.</w:t>
      </w:r>
    </w:p>
    <w:p>
      <w:pPr>
        <w:pStyle w:val="Heading2"/>
      </w:pPr>
      <w:r>
        <w:t xml:space="preserve">Phase 1 — Familiarisation</w:t>
      </w:r>
    </w:p>
    <w:p>
      <w:pPr>
        <w:spacing w:after="100"/>
      </w:pPr>
      <w:r>
        <w:rPr>
          <w:sz w:val="21"/>
          <w:szCs w:val="21"/>
        </w:rPr>
        <w:t xml:space="preserve">Importer, puis LIRE avant de coder. La tentation est de coder dès la première lecture ; c'est ce qui produit un arbre de codes qui épouse le guide d'entretien au lieu du matériau.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Importer : onglet Importer ▸ Fichiers (DOCX, PDF, TXT, images). QualiCode lit directement les .docx — vos transcriptions n'ont pas besoin d'être converties.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Lire : cliquez un document dans le volet de gauche ; il s'ouvre dans le navigateur de document.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Noter les premières impressions : onglet Mémos ▸ Mémo du projet. Dans le projet d'exercice, le mémo « Phase 1 — Familiarisation » montre ce qu'on y écrit.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Renseigner le journal de bord de chaque entretien : dans le volet des documents, l'icône ✏️ sur la ligne du document ouvre son mémo. Le protocole l'exige (annexe 1, « Après »).</w:t>
      </w:r>
    </w:p>
    <w:p>
      <w:pPr>
        <w:pStyle w:val="Heading2"/>
      </w:pPr>
      <w:r>
        <w:t xml:space="preserve">Phase 2 — Codage initial</w:t>
      </w:r>
    </w:p>
    <w:p>
      <w:pPr>
        <w:spacing w:after="100"/>
      </w:pPr>
      <w:r>
        <w:rPr>
          <w:sz w:val="21"/>
          <w:szCs w:val="21"/>
        </w:rPr>
        <w:t xml:space="preserve">L'approche est hybride : on part de la grille dérivée du Tableau III, et on reste ouvert à ce que le matériau impose.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Créer la grille initiale : onglet Codes ▸ Nouveau code. Créez d'abord les familles (« 1. Sens attribué au dépistage »…), puis les codes enfants à l'intérieur.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Coder un passage : sélectionnez le texte à la souris ; le menu « Appliquer un code » apparaît sous la sélection — cliquez le code voulu, ou « Nouveau code… » pour en créer un sur-le-champ. L'onglet Codes ▸ Coder la sélection fait la même chose.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Codage in vivo : sélectionnez un passage, puis « In vivo » dans le menu qui apparaît (ou onglet Codes ▸ Codage in vivo) — le code prend pour nom les mots mêmes du participant. C'est ainsi qu'est né le code « Ce qui est compté existe », repris d'une phrase de P09.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Un même passage peut porter plusieurs codes. Dans le projet d'exercice, la plupart en portent deux ou trois : c'est ce qui rend les co-occurrences interprétables.</w:t>
      </w:r>
    </w:p>
    <w:p/>
    <w:tbl>
      <w:tblPr>
        <w:tblW w:type="dxa" w:w="9026"/>
        <w:tblBorders>
          <w:top w:val="single" w:color="2E86C1" w:sz="10"/>
          <w:left w:val="single" w:color="2E86C1" w:sz="24"/>
          <w:bottom w:val="single" w:color="2E86C1" w:sz="10"/>
          <w:right w:val="single" w:color="2E86C1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2F8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2E86C1"/>
                <w:sz w:val="22"/>
                <w:szCs w:val="22"/>
              </w:rPr>
              <w:t xml:space="preserve">Marquez vos codes inductifs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Dans le projet de la vague 1, les 21 codes nés du matériau portent la mention « [inductif] » dans leur intitulé ; le projet complet en compte 32. Ce n'est pas une coquetterie : c'est la trace qui permet au jury de vérifier que la grille est restée ouverte, comme l'annonce le § 4.2.6.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Le mémo « Piste d'audit — décisions de codage » consigne, pour quatre d'entre eux, POURQUOI ils ont été créés. Faites de même pendant la collecte réelle : la raison s'oublie en trois semaines.</w:t>
            </w:r>
          </w:p>
        </w:tc>
      </w:tr>
    </w:tbl>
    <w:p>
      <w:pPr>
        <w:pStyle w:val="Heading2"/>
      </w:pPr>
      <w:r>
        <w:t xml:space="preserve">Phase 3 — Recherche des thèmes</w:t>
      </w:r>
    </w:p>
    <w:p>
      <w:pPr>
        <w:spacing w:after="100"/>
      </w:pPr>
      <w:r>
        <w:rPr>
          <w:sz w:val="21"/>
          <w:szCs w:val="21"/>
        </w:rPr>
        <w:t xml:space="preserve">Un thème n'est pas un code : c'est un regroupement de codes qui dit quelque chose. QualiCode aide à les faire apparaître.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Activez des codes (case à cocher dans le volet des codes) : le volet « Segments récupérés » rassemble tous les extraits correspondants. C'est la lecture transversale qui fait émerger les thèmes.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Analyse ▸ Matrice des codes : quels codes sont denses, lesquels sont vides. Un code jamais utilisé est un code à supprimer ou à redéfinir.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Analyse ▸ Co-occurrences : quels codes se recouvrent. Deux codes qui co-occurrent systématiquement sont souvent un seul thème.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Enregistrez chaque piste : onglet Analyse ▸ Requêtes sauvegardées. Le projet d'exercice en contient huit, dont les quatre thèmes provisoires (T1 à T4).</w:t>
      </w:r>
    </w:p>
    <w:p>
      <w:pPr>
        <w:pStyle w:val="Heading2"/>
      </w:pPr>
      <w:r>
        <w:t xml:space="preserve">Phase 4 — Revue et validation</w:t>
      </w:r>
    </w:p>
    <w:p>
      <w:pPr>
        <w:spacing w:after="100"/>
      </w:pPr>
      <w:r>
        <w:rPr>
          <w:sz w:val="21"/>
          <w:szCs w:val="21"/>
        </w:rPr>
        <w:t xml:space="preserve">Le protocole insiste sur cette phase : « chaque thème provisoire est confronté à l'ensemble des extraits codés puis au corpus entier 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Ouvrez une requête sauvegardée et relisez TOUS les extraits d'affilée. Un thème qui ne tient pas se voit à cette lecture.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Consignez les thèmes écartés autant que les thèmes retenus. Le mémo « Phase 4 — Revue : un thème écarté » du projet d'exercice montre comment : le thème « résistance des femmes » ne reposait que sur un participant et a été abandonné, ses propos étant reversés en représentation professionnelle.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Analyse ▸ Comparaison de groupes : croisez un code avec une variable (qualification, secteur) pour vérifier qu'un thème n'est pas l'artefact d'un seul profil.</w:t>
      </w:r>
    </w:p>
    <w:p>
      <w:pPr>
        <w:pStyle w:val="Heading2"/>
      </w:pPr>
      <w:r>
        <w:t xml:space="preserve">Phase 5 — Définition et dénomination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Écrivez la définition de chaque famille de codes : l'icône ✏️ sur la ligne du code ouvre son mémo. Le projet d'exercice en contient cinq, dont celle de la famille 7, qui rappelle une règle d'analyse essentielle : ces propos sont des représentations professionnelles, jamais des descriptions de la réalité des femmes.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Renommez sans crainte : renommer un code conserve tous ses segments.</w:t>
      </w:r>
    </w:p>
    <w:p>
      <w:pPr>
        <w:pStyle w:val="Heading2"/>
      </w:pPr>
      <w:r>
        <w:t xml:space="preserve">Phase 6 — Production du rapport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Rapports ▸ Rapport Word (.docx) : tous les extraits classés par code, prêts à être travaillés dans le chapitre Résultats.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Rapports ▸ Segments (CSV) : le même matériau en tableau, avec document, code, poids et commentaire.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Rapports ▸ Matrice (CSV) : la matrice codes × documents, pour un tableau de fréquences dans le mémoire.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Rapports ▸ Rapport imprimable : version mise en page, à imprimer ou à enregistrer en PDF.</w:t>
      </w:r>
    </w:p>
    <w:p>
      <w:r>
        <w:br w:type="page"/>
      </w:r>
    </w:p>
    <w:p>
      <w:pPr>
        <w:pStyle w:val="Heading1"/>
      </w:pPr>
      <w:r>
        <w:t xml:space="preserve">4. Le double codage et le kappa</w:t>
      </w:r>
    </w:p>
    <w:p>
      <w:pPr>
        <w:spacing w:after="100"/>
      </w:pPr>
      <w:r>
        <w:rPr>
          <w:sz w:val="21"/>
          <w:szCs w:val="21"/>
        </w:rPr>
        <w:t xml:space="preserve">Le protocole annonce, au titre de la dépendabilité : « piste d'audit, double codage, contrôle de stabilité intra-codeur ». QualiCode calcule le kappa de Cohen — encore faut-il lui donner deux codages à comparer.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Étape</w:t>
            </w:r>
          </w:p>
        </w:tc>
        <w:tc>
          <w:tcPr>
            <w:tcW w:type="dxa" w:w="56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Dans QualiCode</w:t>
            </w:r>
          </w:p>
        </w:tc>
      </w:tr>
      <w:tr>
        <w:trPr>
          <w:tblHeader w:val="off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Vous codez le corpus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segments portent l'étiquette de codeur C1</w:t>
            </w:r>
          </w:p>
        </w:tc>
      </w:tr>
      <w:tr>
        <w:trPr>
          <w:tblHeader w:val="off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Un second codeur reprend un sous-ensemble à l'aveugle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travaille sur SA copie du projet (.projx), qu'il vous renvoie</w:t>
            </w:r>
          </w:p>
        </w:tc>
      </w:tr>
      <w:tr>
        <w:trPr>
          <w:tblHeader w:val="off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Vous fusionnez son travail au vôtre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Accueil ▸ Fusionner (.projx) — ses segments arrivent étiquetés C2</w:t>
            </w:r>
          </w:p>
        </w:tc>
      </w:tr>
      <w:tr>
        <w:trPr>
          <w:tblHeader w:val="off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Vous calculez l'accord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Analyse ▸ Accord inter-codeurs (κ), puis vous choisissez les deux codeurs</w:t>
            </w:r>
          </w:p>
        </w:tc>
      </w:tr>
      <w:tr>
        <w:trPr>
          <w:tblHeader w:val="off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Vous discutez les désaccords et vous tranchez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écarts se lisent code par code dans le tableau produit</w:t>
            </w:r>
          </w:p>
        </w:tc>
      </w:tr>
    </w:tbl>
    <w:p/>
    <w:tbl>
      <w:tblPr>
        <w:tblW w:type="dxa" w:w="9026"/>
        <w:tblBorders>
          <w:top w:val="single" w:color="C0392B" w:sz="10"/>
          <w:left w:val="single" w:color="C0392B" w:sz="24"/>
          <w:bottom w:val="single" w:color="C0392B" w:sz="10"/>
          <w:right w:val="single" w:color="C0392B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DEC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C0392B"/>
                <w:sz w:val="22"/>
                <w:szCs w:val="22"/>
              </w:rPr>
              <w:t xml:space="preserve">Un kappa flatteur : sachez pourquoi, le jury le demandera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Sur le projet d'exercice, κ = 0,867 — « accord presque parfait » selon Landis et Koch. Ce chiffre est pourtant optimiste, et il faut savoir l'expliquer.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L'unité d'analyse est le paragraphe : pour un code donné, l'immense majorité des paragraphes n'est codée ni par l'un ni par l'autre. Ces accords négatifs gonflent l'accord observé et tirent le kappa vers le haut.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Ce qu'il faut rapporter dans le mémoire : la valeur, l'unité d'analyse retenue, la part du corpus double-codée, et la manière dont les désaccords ont été tranchés. Un kappa nu, sans ces quatre éléments, ne prouve rien.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Les statistiques avancées : ce qu'il ne faut PAS en faire ici</w:t>
      </w:r>
    </w:p>
    <w:p>
      <w:pPr>
        <w:spacing w:after="100"/>
      </w:pPr>
      <w:r>
        <w:rPr>
          <w:sz w:val="21"/>
          <w:szCs w:val="21"/>
        </w:rPr>
        <w:t xml:space="preserve">QualiCode propose un test du χ², le V de Cramér et des corrélations (Analyse ▸ Statistiques avancées). Ces outils fonctionnent. Ils n'ont pas leur place dans les résultats de ce mémoire.</w:t>
      </w:r>
    </w:p>
    <w:p/>
    <w:tbl>
      <w:tblPr>
        <w:tblW w:type="dxa" w:w="9026"/>
        <w:tblBorders>
          <w:top w:val="single" w:color="C0392B" w:sz="10"/>
          <w:left w:val="single" w:color="C0392B" w:sz="24"/>
          <w:bottom w:val="single" w:color="C0392B" w:sz="10"/>
          <w:right w:val="single" w:color="C0392B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DEC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C0392B"/>
                <w:sz w:val="22"/>
                <w:szCs w:val="22"/>
              </w:rPr>
              <w:t xml:space="preserve">Votre protocole l'exclut explicitement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§ 4.2.4 : « Cette étude ne mesure aucune variable et n'éprouve aucune relation. »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§ 1.4 : « Cette recherche ne formule pas d'hypothèse […] elle appartient à une logique hypothético-déductive incompatible avec la démarche compréhensive retenue. »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Et matériellement : avec dix ou vingt entretiens, un χ² porte sur quinze ou vingt lignes. Sur le projet d'exercice, le croisement « modulation de l'information × secteur » donne p = 0,67 — un résultat qui ne signifie rien d'autre que « l'effectif est trop petit pour que ce test dise quoi que ce soit ».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Présenter un tel test en soutenance exposerait le travail à une objection méthodologique immédiate, et affaiblirait des résultats qualitatifs qui, eux, tiennent.</w:t>
            </w:r>
          </w:p>
        </w:tc>
      </w:tr>
    </w:tbl>
    <w:p/>
    <w:p>
      <w:pPr>
        <w:spacing w:after="100"/>
      </w:pPr>
      <w:r>
        <w:rPr>
          <w:sz w:val="21"/>
          <w:szCs w:val="21"/>
        </w:rPr>
        <w:t xml:space="preserve">À quoi ces fonctions servent-elles alors ? À deux choses légitimes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Décrire votre échantillon (Analyse ▸ Statistiques) : combien d'infirmiers, combien de sages-femmes, quelle répartition par secteur. C'est descriptif, et c'est attendu dans le chapitre Méthodes.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Vérifier qu'un thème n'est pas l'artefact d'un seul profil — en lisant la matrice, pas en testant sa signification.</w:t>
      </w:r>
    </w:p>
    <w:p/>
    <w:p>
      <w:pPr>
        <w:spacing w:after="100"/>
      </w:pPr>
      <w:r>
        <w:rPr>
          <w:i/>
          <w:iCs/>
          <w:sz w:val="21"/>
          <w:szCs w:val="21"/>
        </w:rPr>
        <w:t xml:space="preserve">L'export vers R (Analyse ▸ Statistiques avancées ▸ export R/SPSS) reste utile si, plus tard, vous menez une étude quantitative. Pour celle-ci, laissez-le de côté.</w:t>
      </w:r>
    </w:p>
    <w:p>
      <w:r>
        <w:br w:type="page"/>
      </w:r>
    </w:p>
    <w:p>
      <w:pPr>
        <w:pStyle w:val="Heading1"/>
      </w:pPr>
      <w:r>
        <w:t xml:space="preserve">6. La triangulation avec les observations</w:t>
      </w:r>
    </w:p>
    <w:p>
      <w:pPr>
        <w:spacing w:after="100"/>
      </w:pPr>
      <w:r>
        <w:rPr>
          <w:sz w:val="21"/>
          <w:szCs w:val="21"/>
        </w:rPr>
        <w:t xml:space="preserve">Le protocole traite les notes d'observation comme un corpus secondaire, « intégré au même arbre thématique où elles font office de contexte et de contrepoint 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Les cinq comptes rendus sont dans le groupe « Observations (corpus secondaire) » et codés avec la famille 10.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 code « ÉCART déclaré / constaté » marque les quatre lieux où le dit et le vu divergent ou concordent. Ouvrez la requête sauvegardée « Écarts déclaré / constaté » pour les lire d'un bloc.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Ces segments portent un poids de 3 — les seuls du projet. Ils se repèrent dans l'export Segments (CSV), dont la colonne « poids » se trie dans Excel, et le poids s'affiche à côté de l'extrait dans le volet « Segments récupérés ».</w:t>
      </w:r>
    </w:p>
    <w:p/>
    <w:tbl>
      <w:tblPr>
        <w:tblW w:type="dxa" w:w="9026"/>
        <w:tblBorders>
          <w:top w:val="single" w:color="1E8449" w:sz="10"/>
          <w:left w:val="single" w:color="1E8449" w:sz="24"/>
          <w:bottom w:val="single" w:color="1E8449" w:sz="10"/>
          <w:right w:val="single" w:color="1E8449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9F7EF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1E8449"/>
                <w:sz w:val="22"/>
                <w:szCs w:val="22"/>
              </w:rPr>
              <w:t xml:space="preserve">La règle d'interprétation, à ne pas enfreindre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Un écart entre ce qu'un participant déclare et ce que l'observation montre ne s'impute JAMAIS à une intention du participant — ni mensonge, ni négligence.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Le § 4.2.6 le formule ainsi : l'écart « informe sur l'écart entre norme énoncée et condition d'exercice ». Dans le projet d'exercice, le participant qui affirme mesurer la tension « systématiquement » exerce dans le centre dont l'appareil est en panne : c'est une donnée sur la distance entre la norme intériorisée et les moyens, pas sur sa sincérité.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Consignez aussi les CONCORDANCES. Le centre CS14, où le registre observé confirme la consigne déclarée, est un résultat au même titre.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Une phrase du protocole à corriger</w:t>
      </w:r>
    </w:p>
    <w:tbl>
      <w:tblPr>
        <w:tblW w:type="dxa" w:w="9026"/>
        <w:tblBorders>
          <w:top w:val="single" w:color="B7950B" w:sz="10"/>
          <w:left w:val="single" w:color="B7950B" w:sz="24"/>
          <w:bottom w:val="single" w:color="B7950B" w:sz="10"/>
          <w:right w:val="single" w:color="B7950B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9E7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B7950B"/>
                <w:sz w:val="22"/>
                <w:szCs w:val="22"/>
              </w:rPr>
              <w:t xml:space="preserve">§ 4.2.6 nomme NVivo, pas QualiCode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Votre protocole indique : « Les transcriptions sont importées dans NVivo, outil de gestion, de codage et de traçabilité ; la méthode d'analyse demeure l'analyse thématique. »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Si vous conduisez l'analyse dans QualiCode, cette phrase devient inexacte. Le chapitre Méthodes doit décrire ce que vous avez réellement fait : un jury vérifie cette correspondance.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Formulation possible : « Les transcriptions sont importées dans un logiciel d'analyse qualitative assistée par ordinateur (QualiCode), utilisé comme outil de gestion, de codage et de traçabilité ; la méthode d'analyse demeure l'analyse thématique. Le projet est exporté au format d'échange REFI-QDA, ce qui garantit sa lisibilité par les logiciels du domaine et la conservation des matériaux prévue au § 4.2.7. »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Faites valider ce changement par votre directrice de mémoire avant dépôt.</w:t>
            </w:r>
          </w:p>
        </w:tc>
      </w:tr>
    </w:tbl>
    <w:p/>
    <w:p>
      <w:pPr>
        <w:pStyle w:val="Heading2"/>
      </w:pPr>
      <w:r>
        <w:t xml:space="preserve">Passer à NVivo ou MAXQDA si nécessaire</w:t>
      </w:r>
    </w:p>
    <w:p>
      <w:pPr>
        <w:spacing w:after="100"/>
      </w:pPr>
      <w:r>
        <w:rPr>
          <w:sz w:val="21"/>
          <w:szCs w:val="21"/>
        </w:rPr>
        <w:t xml:space="preserve">Le format REFI-QDA est le standard d'échange du domaine. Onglet Rapports ▸ REFI-QDA (.qdpx) produit une archive que NVivo 14+, MAXQDA 2022+ et ATLAS.ti 22+ savent ouvrir : documents, arbre de codes et codages sont conservés.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Sur le projet d'exercice, l'aller-retour a été vérifié : les 15 documents, 79 codes et 1 220 segments reviennent intacts, sans qu'aucune borne de codage ne bouge. Vous n'êtes donc enfermé nulle part — argument utile si un membre du jury s'inquiète du choix de l'outil.</w:t>
      </w:r>
    </w:p>
    <w:p>
      <w:r>
        <w:br w:type="page"/>
      </w:r>
    </w:p>
    <w:p>
      <w:pPr>
        <w:pStyle w:val="Heading1"/>
      </w:pPr>
      <w:r>
        <w:t xml:space="preserve">8. Check-list pour la collecte réelle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200"/>
        <w:gridCol w:w="2526"/>
      </w:tblGrid>
      <w:tr>
        <w:trPr>
          <w:tblHeader/>
        </w:trPr>
        <w:tc>
          <w:tcPr>
            <w:tcW w:type="dxa" w:w="23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Moment</w:t>
            </w:r>
          </w:p>
        </w:tc>
        <w:tc>
          <w:tcPr>
            <w:tcW w:type="dxa" w:w="42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Geste</w:t>
            </w:r>
          </w:p>
        </w:tc>
        <w:tc>
          <w:tcPr>
            <w:tcW w:type="dxa" w:w="25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Où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le premier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Créer un projet NEUF, distinct du projet d'exercice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Accueil ▸ Nouveau projet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le premier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Créer la grille initiale de codes à partir du Tableau III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Codes ▸ Nouveau code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le premier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Déclarer les variables de document (qualification, secteur…)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▸ Liste des variables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chaque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Importer la transcription, saisir les variables, écrire le journal de bord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Importer ▸ Fichiers, puis Mémo du document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chaque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Vérifier la couverture de la matrice de variation (Tableau II)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▸ Éditeur de données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chaque séance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Exporter le .projx et le copier ailleurs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Accueil ▸ Enregistrer (.projx)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Toutes les semaines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Relire la piste d'audit et y consigner les décisions de codage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Mémos ▸ Gestionnaire de mémos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la clôture de la collecte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Documenter la suffisance informationnelle dimension par dimension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Mémo de projet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rédaction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Faire double-coder un tiers des entretiens, fusionner, calculer κ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Accueil ▸ Fusionner, puis Analyse ▸ κ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dépôt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Exporter en REFI-QDA et archiver avec les transcriptions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Rapports ▸ REFI-QDA (.qdpx)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Ce que ce jeu de données ne prouve pas</w:t>
      </w:r>
    </w:p>
    <w:p>
      <w:pPr>
        <w:spacing w:after="100"/>
      </w:pPr>
      <w:r>
        <w:rPr>
          <w:sz w:val="21"/>
          <w:szCs w:val="21"/>
        </w:rPr>
        <w:t xml:space="preserve">Il est facile, après quelques heures passées dans ces transcriptions, de se mettre à penser avec elles. Ce serait une erreur, et elle serait coûteuse.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Aucun des constats qu'on y lit n'est un résultat : ni la rupture de bandelettes, ni le tensiomètre en panne, ni la modulation de l'information selon le niveau d'instruction. Ce sont des hypothèses que j'ai écrites pour que l'outil ait quelque chose à mouliner.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 terrain réel dira peut-être le contraire. S'il dit la même chose, ce sera une coïncidence, pas une confirmation.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 danger concret : arriver sur le terrain avec ces thèmes en tête et n'entendre que ce qui les confirme. Relisez votre grille initiale — celle du Tableau III — plutôt que l'arbre de codes de l'exercice, qui en est une version déjà orientée par un matériau fictif.</w:t>
      </w:r>
    </w:p>
    <w:p/>
    <w:p>
      <w:pPr>
        <w:spacing w:after="100"/>
      </w:pPr>
      <w:r>
        <w:rPr>
          <w:b/>
          <w:bCs/>
          <w:sz w:val="21"/>
          <w:szCs w:val="21"/>
        </w:rPr>
        <w:t xml:space="preserve">La bonne façon de se servir de ce dossier est de refaire les gestes, pas de retenir les conclusions.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2026-10-01T22:45:48.830Z</dcterms:created>
  <dcterms:modified xsi:type="dcterms:W3CDTF">2026-10-01T22:45:48.830Z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