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Mise au propre (date)</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des notes d'entretien mises au propre (un par entretien, sans enregistrement)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Mis au propre le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Et les jours où le laboratoire ne peut pas faire la glycémie (bandelettes, appareil, laborantin, heure des prélèvements), que deviennent les femmes de première visite ?</w:t>
      </w:r>
    </w:p>
    <w:p>
      <w:pPr>
        <w:rPr>
          <w:i/>
          <w:iCs/>
          <w:color w:val="7F8C8D"/>
          <w:sz w:val="20"/>
          <w:szCs w:val="20"/>
        </w:rPr>
      </w:pPr>
      <w:r>
        <w:rPr>
          <w:i/>
          <w:iCs/>
          <w:color w:val="7F8C8D"/>
          <w:sz w:val="20"/>
          <w:szCs w:val="20"/>
        </w:rPr>
        <w:t xml:space="preserve">Relance (protocole révisé) : Et en urgence, comment faites-vous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Et à la séance d'éducation, qu'en dites-vous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Et à la séance d'éducation, qu'en dites-vous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Après le diagnostic, comment la femme se surveille-t-elle ? Certaines ont-elles un tensiomètre ou un glucomètre à la maison ? Lesquelles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bis. Séance d'éducation collective (protocole révisé — observée avec l'accord de l'animateur, les femmes présentes en étant informées ; aucune donnée sur 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 (séances par semaine, jours)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Heure, durée, lieu, animée par (fonction seulement)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Nombre approximatif de femmes présentes ; conjoints présents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Thème du jour ; support utilisé (boîte à images, affiche…)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abordée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Sucre (diabète) abordé</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arrivées après la séance (estimation)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Cahier des séances tenu (thème, date, nombre)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B bis. Glycémie de la première CPN (protocole révisé — données de service, sans relevé nominatif)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demandée par la CPN et faite aux femmes de première CPN reçues ce jour</w:t>
            </w:r>
          </w:p>
        </w:tc>
        <w:tc>
          <w:tcPr>
            <w:tcW w:type="dxa" w:w="5626"/>
            <w:tcMar>
              <w:top w:type="dxa" w:w="60"/>
              <w:left w:type="dxa" w:w="100"/>
              <w:bottom w:type="dxa" w:w="60"/>
              <w:right w:type="dxa" w:w="100"/>
            </w:tcMar>
          </w:tcPr>
          <w:p>
            <w:r>
              <w:rPr>
                <w:b w:val="false"/>
                <w:bCs w:val="false"/>
                <w:i w:val="false"/>
                <w:iCs w:val="false"/>
                <w:sz w:val="19"/>
                <w:szCs w:val="19"/>
              </w:rPr>
              <w:t xml:space="preserve">☐ toutes   ☐ certaines   ☐ aucune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Si non faite : motif constaté</w:t>
            </w:r>
          </w:p>
        </w:tc>
        <w:tc>
          <w:tcPr>
            <w:tcW w:type="dxa" w:w="5626"/>
            <w:tcMar>
              <w:top w:type="dxa" w:w="60"/>
              <w:left w:type="dxa" w:w="100"/>
              <w:bottom w:type="dxa" w:w="60"/>
              <w:right w:type="dxa" w:w="100"/>
            </w:tcMar>
          </w:tcPr>
          <w:p>
            <w:r>
              <w:rPr>
                <w:b w:val="false"/>
                <w:bCs w:val="false"/>
                <w:i w:val="false"/>
                <w:iCs w:val="false"/>
                <w:sz w:val="19"/>
                <w:szCs w:val="19"/>
              </w:rPr>
              <w:t xml:space="preserve">☐ rupture de bandelettes   ☐ glucomètre en panne   ☐ laborantin absent   ☐ plus de prélèvement (heure dépassée)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Lieu du test de routine</w:t>
            </w:r>
          </w:p>
        </w:tc>
        <w:tc>
          <w:tcPr>
            <w:tcW w:type="dxa" w:w="5626"/>
            <w:tcMar>
              <w:top w:type="dxa" w:w="60"/>
              <w:left w:type="dxa" w:w="100"/>
              <w:bottom w:type="dxa" w:w="60"/>
              <w:right w:type="dxa" w:w="100"/>
            </w:tcMar>
          </w:tcPr>
          <w:p>
            <w:r>
              <w:rPr>
                <w:b w:val="false"/>
                <w:bCs w:val="false"/>
                <w:i w:val="false"/>
                <w:iCs w:val="false"/>
                <w:sz w:val="19"/>
                <w:szCs w:val="19"/>
              </w:rPr>
              <w:t xml:space="preserve">☐ laboratoire   ☐ salle de CPN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 oui   ☐ non — sinon, en urgence : ☐ le laborantin vient en CPN   ☐ la femme va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 à toutes   ☐ sur facteurs de risque   ☐ jamais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Les entretiens ne sont pas enregistrés ; la citation d'extraits fait l'objet d'un accord DISTINCT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350"/>
        <w:gridCol w:w="1250"/>
        <w:gridCol w:w="1550"/>
        <w:gridCol w:w="1300"/>
        <w:gridCol w:w="157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3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55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7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P01</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P02</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P03</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P04</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P05</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P06</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P07</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P08</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P09</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P10</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P11</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P12</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P13</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P14</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P15</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P16</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P17</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P18</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P19</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P20</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P21</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P22</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P23</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P24</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2026-10-03T09:39:32.555Z</dcterms:created>
  <dcterms:modified xsi:type="dcterms:W3CDTF">2026-10-03T09:39:32.555Z</dcterms:modified>
</cp:coreProperties>
</file>

<file path=docProps/custom.xml><?xml version="1.0" encoding="utf-8"?>
<Properties xmlns="http://schemas.openxmlformats.org/officeDocument/2006/custom-properties" xmlns:vt="http://schemas.openxmlformats.org/officeDocument/2006/docPropsVTypes"/>
</file>