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Suivi de l'échantillon — matrice de variation (Tableau II)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Couverture des sept dimensions de variation, calculée à partir des fiches.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t xml:space="preserve">Suivi de l'échantillon au regard du Tableau II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Deux vagues : la vague 1 (10 participants, 5 centres) puis la vague 2 (10 participants, les 10 autres centres). Ensemble, elles couvrent 15 des seize centres de santé du district (le seizième a servi au pré-test), dans la fourchette de seize à vingt-quatre participants du § 4.2.3.1.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protocole (§ 4.2.3.2, Tableau II) prescrit un échantillonnage raisonné à variation maximale portant sur sept dimensions. Le tableau de couverture ci-dessous est CALCULÉ à partir des fiches : c'est le contrôle à refaire pendant la collecte réelle, après chaque entretien.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800"/>
        <w:gridCol w:w="1250"/>
        <w:gridCol w:w="850"/>
        <w:gridCol w:w="1000"/>
        <w:gridCol w:w="850"/>
        <w:gridCol w:w="900"/>
        <w:gridCol w:w="876"/>
        <w:gridCol w:w="1200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Vague</w:t>
            </w:r>
          </w:p>
        </w:tc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Titulaire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Anc. CPN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Secteur</w:t>
            </w:r>
          </w:p>
        </w:tc>
        <w:tc>
          <w:tcPr>
            <w:tcW w:type="dxa" w:w="9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Hôpital</w:t>
            </w:r>
          </w:p>
        </w:tc>
        <w:tc>
          <w:tcPr>
            <w:tcW w:type="dxa" w:w="8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Volume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CS06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CS08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CS09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CS10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</w:tbl>
    <w:p/>
    <w:p>
      <w:pPr>
        <w:pStyle w:val="Heading2"/>
        <w:spacing w:after="120" w:before="220"/>
      </w:pPr>
      <w:r>
        <w:t xml:space="preserve">Couverture des sept dimensions de variation (Tableau II)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Dimension (Tableau II)</w:t>
            </w:r>
          </w:p>
        </w:tc>
        <w:tc>
          <w:tcPr>
            <w:tcW w:type="dxa" w:w="24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Modalités recherchées</w:t>
            </w:r>
          </w:p>
        </w:tc>
        <w:tc>
          <w:tcPr>
            <w:tcW w:type="dxa" w:w="44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Couverture dans l'échantillon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Infirmiers ; sages-femmes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(P01, P04, P05, P08, P09, P12, P14, P16, P18, P20) · 10 sages-femmes (P02, P03, P06, P07, P10, P11, P13, P15, P17, P19)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Fonction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Prestataires ; infirmiers titulaires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titulaires (P01, P05, P09, P12, P16) · 15 prestataires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Ancienneté en CPN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 ; plus de 2 ans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 mois à 2 ans (P03, P06, P08, P14, P16, P17) · 14 de plus de 2 ans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Secteur d'implantation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 ; rural périphérique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urbains (CS01, CS02, CS03, CS06) · 14 ruraux (CS04, CS05, CS07, CS08, CS09, CS10, CS11, CS12, CS13, CS14, CS15)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Distance à l'hôpital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 ; éloignée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proches · 14 éloignés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d'activité prénatale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 ; modéré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en volume élevé · 13 en volume modéré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Profil socio-économique du secteur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Pauvreté plus élevée ; plus faible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 en secteur de pauvreté plus élevée · 6 en secteur de pauvreté plus faible</w:t>
            </w:r>
          </w:p>
        </w:tc>
      </w:tr>
    </w:tbl>
    <w:p/>
    <w:p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Le protocole ne clôt pas la collecte sur un nombre : la suffisance informationnelle s'argumente dimension par dimension. Le projet d'analyse contient un mémo qui s'y exerce.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2026-10-03T09:39:30.651Z</dcterms:created>
  <dcterms:modified xsi:type="dcterms:W3CDTF">2026-10-03T09:39:30.652Z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