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80"/>
        <w:jc w:val="both"/>
      </w:pPr>
      <w:r>
        <w:rPr>
          <w:i w:val="false"/>
          <w:iCs w:val="false"/>
          <w:sz w:val="22"/>
          <w:szCs w:val="22"/>
        </w:rPr>
        <w:t xml:space="preserve">La tension est mesurée à chaque visite et la glycémie est demandée pour toutes au premier contact et faite au laboratoire ; mais ce test saute les jours de rupture de bandelettes, de panne ou d'absence du laborantin — le jour de l'observation, il n'était fait que dans 8 centres sur 15 —, la femme manquée n'est presque jamais rattrapée, et il n'est refait nulle part de façon systématique à 24-28 semaines. L'explication est modulée à l'inverse des besoins (17 participants) et, après le diagnostic, l’autosurveillance à domicile reste réservée aux ménages aisés (5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Une règle pour toutes, une exécution intermittente</w:t>
      </w:r>
    </w:p>
    <w:p>
      <w:pPr>
        <w:spacing w:after="8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Dans les centres étudiés, la pratique va au-delà d'un dépistage ciblé : la CPN demande la glycémie capillaire pour toutes au premier contact, et le laboratoire la réalise ; la CPN ne la fait elle-même qu'en urgence, quand elle dispose d'un glucomètre. Ce qui la limite n'est donc ni la règle ni la technique, mais la continuité des intrants, de la maintenance et de la présence du laborantin.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fait de la consultation des maladies chroniques un second utilisateur des bandelettes du centre : deux programmes puisent au même stock sans la jonction que la revue jugeait absente</w:t>
      </w:r>
      <w:r>
        <w:rPr>
          <w:sz w:val="22"/>
          <w:szCs w:val="22"/>
        </w:rPr>
        <w:t xml:space="preserve"> [63,64]</w:t>
      </w:r>
      <w:r>
        <w:rPr>
          <w:i w:val="false"/>
          <w:iCs w:val="false"/>
          <w:sz w:val="22"/>
          <w:szCs w:val="22"/>
        </w:rPr>
        <w:t xml:space="preserve">, dans des pays où les bandelettes manquent souvent jusque dans les formations sanitaires</w:t>
      </w:r>
      <w:r>
        <w:rPr>
          <w:sz w:val="22"/>
          <w:szCs w:val="22"/>
        </w:rPr>
        <w:t xml:space="preserve"> [73]</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rappellent l'enjeu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la tension a été mesurée chez 93,5 % des femmes suivies dans la province de l'Est selon l'EDS 2025</w:t>
      </w:r>
      <w:r>
        <w:rPr>
          <w:sz w:val="22"/>
          <w:szCs w:val="22"/>
        </w:rPr>
        <w:t xml:space="preserve"> [74]</w:t>
      </w:r>
      <w:r>
        <w:rPr>
          <w:i w:val="false"/>
          <w:iCs w:val="false"/>
          <w:sz w:val="22"/>
          <w:szCs w:val="22"/>
        </w:rPr>
        <w:t xml:space="preserve"> : un test universel mais intermittent laisse passer des femmes que rien ne rattrape.</w:t>
      </w:r>
    </w:p>
    <w:p>
      <w:pPr>
        <w:spacing w:after="80"/>
        <w:jc w:val="both"/>
      </w:pPr>
      <w:r>
        <w:rPr>
          <w:i w:val="false"/>
          <w:iCs w:val="false"/>
          <w:sz w:val="22"/>
          <w:szCs w:val="22"/>
        </w:rPr>
        <w:t xml:space="preserve">La règle de terrain trouve un appui dans le registre de maternité, où le diabète figure parmi les affections recherchées chez toutes les femmes à la première CPN</w:t>
      </w:r>
      <w:r>
        <w:rPr>
          <w:sz w:val="22"/>
          <w:szCs w:val="22"/>
        </w:rPr>
        <w:t xml:space="preserve"> [75]</w:t>
      </w:r>
      <w:r>
        <w:rPr>
          <w:i w:val="false"/>
          <w:iCs w:val="false"/>
          <w:sz w:val="22"/>
          <w:szCs w:val="22"/>
        </w:rPr>
        <w:t xml:space="preserve">, alors que les directives nationales de 2021 décrivent un dépistage du diabète gestationnel par bandelette urinaire, orienté par les facteurs de risque, dans un modèle à huit contacts où la première visite doit avoir lieu avant 12 semaines et où un contact est prévu à 26 semaines</w:t>
      </w:r>
      <w:r>
        <w:rPr>
          <w:sz w:val="22"/>
          <w:szCs w:val="22"/>
        </w:rPr>
        <w:t xml:space="preserve"> [76]</w:t>
      </w:r>
      <w:r>
        <w:rPr>
          <w:i w:val="false"/>
          <w:iCs w:val="false"/>
          <w:sz w:val="22"/>
          <w:szCs w:val="22"/>
        </w:rPr>
        <w:t xml:space="preserve">. Deux limites tiennent à l'organisation. La première est la continuité : une rupture de bandelettes, une panne ou l'absence d'un laborantin souvent seul suffit à interrompre le test, sans relais en CPN là où elle n'a ni glucomètre ni personne formée, et, faute de liste des femmes manquées, l'interruption devient une absence définitive pour celles qui se sont présentées ces jours-là ; la case du registre peut alors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[77]</w:t>
      </w:r>
      <w:r>
        <w:rPr>
          <w:i w:val="false"/>
          <w:iCs w:val="false"/>
          <w:sz w:val="22"/>
          <w:szCs w:val="22"/>
        </w:rPr>
        <w:t xml:space="preserve">.</w:t>
      </w:r>
    </w:p>
    <w:p>
      <w:pPr>
        <w:pStyle w:val="Heading3"/>
        <w:spacing w:after="100" w:before="180"/>
      </w:pPr>
      <w:r>
        <w:t xml:space="preserve">6.2.2. Le prestataire, opérateur concret de l'équité</w:t>
      </w:r>
    </w:p>
    <w:p>
      <w:pPr>
        <w:spacing w:after="8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[10,74]</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[78]</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[79]</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[80]</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[81]</w:t>
      </w:r>
      <w:r>
        <w:rPr>
          <w:i w:val="false"/>
          <w:iCs w:val="false"/>
          <w:sz w:val="22"/>
          <w:szCs w:val="22"/>
        </w:rPr>
        <w:t xml:space="preserve"> ; les contre-pratiques décrites rejoignent l'universalisme proportionné</w:t>
      </w:r>
      <w:r>
        <w:rPr>
          <w:sz w:val="22"/>
          <w:szCs w:val="22"/>
        </w:rPr>
        <w:t xml:space="preserve"> [82]</w:t>
      </w:r>
      <w:r>
        <w:rPr>
          <w:i w:val="false"/>
          <w:iCs w:val="false"/>
          <w:sz w:val="22"/>
          <w:szCs w:val="22"/>
        </w:rPr>
        <w:t xml:space="preserve">. Le gradient réapparaît après le diagnostic : l'autosurveillance à domicile, avec un tensiomètre ou un glucomètre acheté par le ménage, n'est accessible qu'aux femmes aisées, souvent les plus proches du centre. Les femmes atteintes de prééclampsie se disent prêtes à mesurer leur tension chez elles, mais le coût de l'appareil arrête celles de faible niveau socio-économique</w:t>
      </w:r>
      <w:r>
        <w:rPr>
          <w:sz w:val="22"/>
          <w:szCs w:val="22"/>
        </w:rPr>
        <w:t xml:space="preserve"> [83]</w:t>
      </w:r>
      <w:r>
        <w:rPr>
          <w:i w:val="false"/>
          <w:iCs w:val="false"/>
          <w:sz w:val="22"/>
          <w:szCs w:val="22"/>
        </w:rPr>
        <w:t xml:space="preserve">, et les glucomètres et leurs bandelettes restent chers et peu accessibles dans les pays à ressources limitées</w:t>
      </w:r>
      <w:r>
        <w:rPr>
          <w:sz w:val="22"/>
          <w:szCs w:val="22"/>
        </w:rPr>
        <w:t xml:space="preserve"> [73]</w:t>
      </w:r>
      <w:r>
        <w:rPr>
          <w:i w:val="false"/>
          <w:iCs w:val="false"/>
          <w:sz w:val="22"/>
          <w:szCs w:val="22"/>
        </w:rPr>
        <w:t xml:space="preserve"> ; le même principe invite à rapprocher le suivi de celles qui ne peuvent pas se mesurer chez elles.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[84]</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8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[85]</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rémunère des volumes de services, dont la première CPN précoce et les quatre visites</w:t>
      </w:r>
      <w:r>
        <w:rPr>
          <w:sz w:val="22"/>
          <w:szCs w:val="22"/>
        </w:rPr>
        <w:t xml:space="preserve"> [75]</w:t>
      </w:r>
      <w:r>
        <w:rPr>
          <w:i w:val="false"/>
          <w:iCs w:val="false"/>
          <w:sz w:val="22"/>
          <w:szCs w:val="22"/>
        </w:rPr>
        <w:t xml:space="preserve">, avec un effet plus net sur les services les mieux payés et les moins exigeants</w:t>
      </w:r>
      <w:r>
        <w:rPr>
          <w:sz w:val="22"/>
          <w:szCs w:val="22"/>
        </w:rPr>
        <w:t xml:space="preserve"> [86]</w:t>
      </w:r>
      <w:r>
        <w:rPr>
          <w:i w:val="false"/>
          <w:iCs w:val="false"/>
          <w:sz w:val="22"/>
          <w:szCs w:val="22"/>
        </w:rPr>
        <w:t xml:space="preserve">. La détection n'a de valeur que si la référence aboutit : les facteurs limitants inventoriés ailleurs</w:t>
      </w:r>
      <w:r>
        <w:rPr>
          <w:sz w:val="22"/>
          <w:szCs w:val="22"/>
        </w:rPr>
        <w:t xml:space="preserve"> [24-26]</w:t>
      </w:r>
      <w:r>
        <w:rPr>
          <w:i w:val="false"/>
          <w:iCs w:val="false"/>
          <w:sz w:val="22"/>
          <w:szCs w:val="22"/>
        </w:rPr>
        <w:t xml:space="preserve"> forment ici une chaîne — transport, décision du ménage, retour d'information — dont les ASM, chargées de repérer les femmes enceintes et de les orienter</w:t>
      </w:r>
      <w:r>
        <w:rPr>
          <w:sz w:val="22"/>
          <w:szCs w:val="22"/>
        </w:rPr>
        <w:t xml:space="preserve"> [87]</w:t>
      </w:r>
      <w:r>
        <w:rPr>
          <w:i w:val="false"/>
          <w:iCs w:val="false"/>
          <w:sz w:val="22"/>
          <w:szCs w:val="22"/>
        </w:rPr>
        <w:t xml:space="preserve">, assurent parfois le dernier maillon ; au Rwanda, moins de la moitié des prestataires citaient la prééclampsie parmi les motifs de référence urgente</w:t>
      </w:r>
      <w:r>
        <w:rPr>
          <w:sz w:val="22"/>
          <w:szCs w:val="22"/>
        </w:rPr>
        <w:t xml:space="preserve"> [81]</w:t>
      </w:r>
      <w:r>
        <w:rPr>
          <w:i w:val="false"/>
          <w:iCs w:val="false"/>
          <w:sz w:val="22"/>
          <w:szCs w:val="22"/>
        </w:rPr>
        <w:t xml:space="preserve">, et 82 % des décès maternels d'un hôpital de référence concernaient des femmes référées</w:t>
      </w:r>
      <w:r>
        <w:rPr>
          <w:sz w:val="22"/>
          <w:szCs w:val="22"/>
        </w:rPr>
        <w:t xml:space="preserve"> [88]</w:t>
      </w:r>
      <w:r>
        <w:rPr>
          <w:i w:val="false"/>
          <w:iCs w:val="false"/>
          <w:sz w:val="22"/>
          <w:szCs w:val="22"/>
        </w:rPr>
        <w:t xml:space="preserve">, alors que le suivi s'interrompt à l'accouchement</w:t>
      </w:r>
      <w:r>
        <w:rPr>
          <w:sz w:val="22"/>
          <w:szCs w:val="22"/>
        </w:rPr>
        <w:t xml:space="preserve"> [4,5]</w:t>
      </w:r>
      <w:r>
        <w:rPr>
          <w:i w:val="false"/>
          <w:iCs w:val="false"/>
          <w:sz w:val="22"/>
          <w:szCs w:val="22"/>
        </w:rPr>
        <w:t xml:space="preserve">. Les dispositifs nationaux jouent dans les deux sens : la venue attendue du conjoint retarde des femmes</w:t>
      </w:r>
      <w:r>
        <w:rPr>
          <w:sz w:val="22"/>
          <w:szCs w:val="22"/>
        </w:rPr>
        <w:t xml:space="preserve"> [57]</w:t>
      </w:r>
      <w:r>
        <w:rPr>
          <w:i w:val="false"/>
          <w:iCs w:val="false"/>
          <w:sz w:val="22"/>
          <w:szCs w:val="22"/>
        </w:rPr>
        <w:t xml:space="preserve"> ; les aides de l'ubudehe</w:t>
      </w:r>
      <w:r>
        <w:rPr>
          <w:sz w:val="22"/>
          <w:szCs w:val="22"/>
        </w:rPr>
        <w:t xml:space="preserve"> [61,62,89]</w:t>
      </w:r>
      <w:r>
        <w:rPr>
          <w:i w:val="false"/>
          <w:iCs w:val="false"/>
          <w:sz w:val="22"/>
          <w:szCs w:val="22"/>
        </w:rPr>
        <w:t xml:space="preserve"> rapprochent les plus pauvres, au risque d'un effet de seuil ; l'alerte téléphonique des ASM a fait progresser les accouchements en établissement</w:t>
      </w:r>
      <w:r>
        <w:rPr>
          <w:sz w:val="22"/>
          <w:szCs w:val="22"/>
        </w:rPr>
        <w:t xml:space="preserve"> [90]</w:t>
      </w:r>
      <w:r>
        <w:rPr>
          <w:i w:val="false"/>
          <w:iCs w:val="false"/>
          <w:sz w:val="22"/>
          <w:szCs w:val="22"/>
        </w:rPr>
        <w:t xml:space="preserve"> mais reste un outil d'urgence ; les campagnes de dépistage des MNT</w:t>
      </w:r>
      <w:r>
        <w:rPr>
          <w:sz w:val="22"/>
          <w:szCs w:val="22"/>
        </w:rPr>
        <w:t xml:space="preserve"> [91]</w:t>
      </w:r>
      <w:r>
        <w:rPr>
          <w:i w:val="false"/>
          <w:iCs w:val="false"/>
          <w:sz w:val="22"/>
          <w:szCs w:val="22"/>
        </w:rPr>
        <w:t xml:space="preserve"> ne sont pas reliées à la CPN ; l'umugoroba w'ababyeyi</w:t>
      </w:r>
      <w:r>
        <w:rPr>
          <w:sz w:val="22"/>
          <w:szCs w:val="22"/>
        </w:rPr>
        <w:t xml:space="preserve"> [92]</w:t>
      </w:r>
      <w:r>
        <w:rPr>
          <w:i w:val="false"/>
          <w:iCs w:val="false"/>
          <w:sz w:val="22"/>
          <w:szCs w:val="22"/>
        </w:rPr>
        <w:t xml:space="preserve"> offrirait un relais vers les maris et les familles.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8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80"/>
        <w:jc w:val="both"/>
      </w:pPr>
      <w:r>
        <w:rPr>
          <w:i w:val="false"/>
          <w:iCs w:val="false"/>
          <w:sz w:val="22"/>
          <w:szCs w:val="22"/>
        </w:rPr>
        <w:t xml:space="preserve">Sur les 91 codes de l'arbre final, 44 sont nés du matériau. Ils ne remettent pas en cause les deux ensembles du cadre, mais appellent quatre révisions (tableau VII),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dans la pratique informative, la distinction entre la séance d'éducation collective et la restitution individuelle du résultat ; une articulation communautaire ; le dispositif de contrôle comme condition systémique. La figure décompose en outre l'équité d'accès en trois dimensions : au test, à l'explication, à la continuité.</w:t>
      </w:r>
    </w:p>
    <w:p>
      <w:pPr>
        <w:keepNext/>
        <w:pageBreakBefore/>
        <w:spacing w:after="60" w:before="0" w:line="240" w:lineRule="auto"/>
        <w:jc w:val="center"/>
      </w:pPr>
      <w:r>
        <w:drawing>
          <wp:inline distT="0" distB="0" distL="0" distR="0">
            <wp:extent cx="49530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9248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 et des observations.</w:t>
      </w:r>
    </w:p>
    <w:p>
      <w:pPr>
        <w:keepNext/>
        <w:spacing w:after="80" w:before="200"/>
      </w:pPr>
      <w:r>
        <w:rPr>
          <w:b/>
          <w:bCs/>
          <w:sz w:val="20"/>
          <w:szCs w:val="20"/>
        </w:rPr>
        <w:t xml:space="preserve">Tableau VII.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la règle (un test pour toutes), le test fait le jour même au laboratoire, le relais en CPN, le rattrapage du test manqué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Bandelettes en rupture ou périmées, glucomètre en panne, laborantin absent, aucun prélèvement après midi ; glucomètre d'urgence en CPN dans certains centres seulement ; femme manquée non rappelée ; glycémie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8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8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[93]</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[94]</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Klatman EL, Jenkins AJ, Ahmedani MY, Ogle GD. Blood glucose meters and test strips: global market and challenges to access in low-resource settings. Lancet Diabetes Endocrinol. 2019;7(2):150-60. doi:10.1016/S2213-8587(18)30074-3</w:t>
      </w:r>
    </w:p>
    <w:p>
      <w:pPr>
        <w:spacing w:after="80"/>
        <w:ind w:left="567" w:hanging="567"/>
      </w:pPr>
      <w:r>
        <w:rPr>
          <w:sz w:val="20"/>
          <w:szCs w:val="20"/>
        </w:rPr>
        <w:t xml:space="preserve">74.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75.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76.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77.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78.	Tudor Hart J. The inverse care law. Lancet. 1971;1(7696):405-12.</w:t>
      </w:r>
    </w:p>
    <w:p>
      <w:pPr>
        <w:spacing w:after="80"/>
        <w:ind w:left="567" w:hanging="567"/>
      </w:pPr>
      <w:r>
        <w:rPr>
          <w:sz w:val="20"/>
          <w:szCs w:val="20"/>
        </w:rPr>
        <w:t xml:space="preserve">79.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80.	Lipsky M. Street-level bureaucracy: dilemmas of the individual in public services. New York: Russell Sage Foundation; 1980.</w:t>
      </w:r>
    </w:p>
    <w:p>
      <w:pPr>
        <w:spacing w:after="80"/>
        <w:ind w:left="567" w:hanging="567"/>
      </w:pPr>
      <w:r>
        <w:rPr>
          <w:sz w:val="20"/>
          <w:szCs w:val="20"/>
        </w:rPr>
        <w:t xml:space="preserve">81.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82.	Marmot M, Allen J, Goldblatt P, Boyce T, McNeish D, Grady M, et al. Fair society, healthy lives: the Marmot Review. London: The Marmot Review; 2010.</w:t>
      </w:r>
    </w:p>
    <w:p>
      <w:pPr>
        <w:spacing w:after="80"/>
        <w:ind w:left="567" w:hanging="567"/>
      </w:pPr>
      <w:r>
        <w:rPr>
          <w:sz w:val="20"/>
          <w:szCs w:val="20"/>
        </w:rPr>
        <w:t xml:space="preserve">83.	Munyungula J, Shakwane S. Self-monitoring of blood pressure for preeclampsia patients: knowledge and attitudes. Curationis. 2021;44(1):e1-e8. doi:10.4102/curationis.v44i1.2195</w:t>
      </w:r>
    </w:p>
    <w:p>
      <w:pPr>
        <w:spacing w:after="80"/>
        <w:ind w:left="567" w:hanging="567"/>
      </w:pPr>
      <w:r>
        <w:rPr>
          <w:sz w:val="20"/>
          <w:szCs w:val="20"/>
        </w:rPr>
        <w:t xml:space="preserve">84.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85.	Campbell DT. Assessing the impact of planned social change. Eval Program Plann. 1979;2(1):67-90.</w:t>
      </w:r>
    </w:p>
    <w:p>
      <w:pPr>
        <w:spacing w:after="80"/>
        <w:ind w:left="567" w:hanging="567"/>
      </w:pPr>
      <w:r>
        <w:rPr>
          <w:sz w:val="20"/>
          <w:szCs w:val="20"/>
        </w:rPr>
        <w:t xml:space="preserve">86.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87.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88.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89.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90.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91.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92.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93.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94.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074dcf40338638f12cc5d9aca039993f1a05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2026-10-03T07:33:02.799Z</dcterms:created>
  <dcterms:modified xsi:type="dcterms:W3CDTF">2026-10-03T07:33:02.799Z</dcterms:modified>
</cp:coreProperties>
</file>

<file path=docProps/custom.xml><?xml version="1.0" encoding="utf-8"?>
<Properties xmlns="http://schemas.openxmlformats.org/officeDocument/2006/custom-properties" xmlns:vt="http://schemas.openxmlformats.org/officeDocument/2006/docPropsVTypes"/>
</file>