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b/>
          <w:bCs/>
          <w:sz w:val="22"/>
          <w:szCs w:val="22"/>
        </w:rPr>
        <w:t xml:space="preserve">UNIVERSITÉ DE PARAKOU — ENATSE</w:t>
      </w:r>
    </w:p>
    <w:p>
      <w:pPr>
        <w:spacing w:after="300"/>
        <w:jc w:val="center"/>
      </w:pPr>
      <w:r>
        <w:rPr>
          <w:sz w:val="20"/>
          <w:szCs w:val="20"/>
        </w:rPr>
        <w:t xml:space="preserve">Master en Santé publique — Promotion de la santé</w:t>
      </w:r>
    </w:p>
    <w:p>
      <w:pPr>
        <w:spacing w:after="240"/>
        <w:jc w:val="center"/>
      </w:pPr>
      <w:r>
        <w:rPr>
          <w:i/>
          <w:iCs/>
          <w:sz w:val="22"/>
          <w:szCs w:val="22"/>
        </w:rPr>
        <w:t xml:space="preserve">L'équité d'accès au dépistage capacitant de l'hypertension artérielle et du diabète en consultation prénatale : perceptions et pratiques déclarées des infirmiers et sages-femmes de Ngoma (Rwanda)</w:t>
      </w:r>
    </w:p>
    <w:p>
      <w:pPr>
        <w:spacing w:after="200" w:before="200"/>
        <w:jc w:val="center"/>
      </w:pPr>
      <w:r>
        <w:rPr>
          <w:b/>
          <w:bCs/>
          <w:sz w:val="32"/>
          <w:szCs w:val="32"/>
        </w:rPr>
        <w:t xml:space="preserve">Annexe 9 — Données de routine du district</w:t>
      </w:r>
    </w:p>
    <w:p/>
    <w:p>
      <w:pPr>
        <w:spacing w:after="60" w:before="60"/>
        <w:jc w:val="center"/>
      </w:pPr>
      <w:r>
        <w:rPr>
          <w:i/>
          <w:iCs/>
          <w:color w:val="7F8C8D"/>
          <w:sz w:val="18"/>
          <w:szCs w:val="18"/>
        </w:rPr>
        <w:t xml:space="preserve">Version d'entraînement — entretiens et observations fictifs, à remplacer par les données du terrain</w:t>
      </w:r>
    </w:p>
    <w:p/>
    <w:p>
      <w:pPr>
        <w:spacing w:after="80"/>
        <w:rPr>
          <w:sz w:val="20"/>
          <w:szCs w:val="20"/>
        </w:rPr>
      </w:pPr>
      <w:r>
        <w:rPr>
          <w:sz w:val="20"/>
          <w:szCs w:val="20"/>
        </w:rPr>
        <w:t xml:space="preserve">Indicateurs de CPN des 15 centres, ruptures d'intrants, séances d'éducation collective, et repères réels sourcés sur le district de Ngoma et le Rwanda.</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val="off"/>
        </w:trPr>
        <w:tc>
          <w:tcPr>
            <w:tcW w:type="dxa" w:w="2400"/>
            <w:tcMar>
              <w:top w:type="dxa" w:w="60"/>
              <w:left w:type="dxa" w:w="100"/>
              <w:bottom w:type="dxa" w:w="60"/>
              <w:right w:type="dxa" w:w="100"/>
            </w:tcMar>
          </w:tcPr>
          <w:p>
            <w:r>
              <w:rPr>
                <w:b w:val="false"/>
                <w:bCs w:val="false"/>
                <w:i w:val="false"/>
                <w:iCs w:val="false"/>
                <w:sz w:val="19"/>
                <w:szCs w:val="19"/>
              </w:rPr>
              <w:t xml:space="preserve">Chercheur</w:t>
            </w:r>
          </w:p>
        </w:tc>
        <w:tc>
          <w:tcPr>
            <w:tcW w:type="dxa" w:w="6626"/>
            <w:tcMar>
              <w:top w:type="dxa" w:w="60"/>
              <w:left w:type="dxa" w:w="100"/>
              <w:bottom w:type="dxa" w:w="60"/>
              <w:right w:type="dxa" w:w="100"/>
            </w:tcMar>
          </w:tcPr>
          <w:p>
            <w:r>
              <w:rPr>
                <w:b w:val="false"/>
                <w:bCs w:val="false"/>
                <w:i w:val="false"/>
                <w:iCs w:val="false"/>
                <w:sz w:val="19"/>
                <w:szCs w:val="19"/>
              </w:rPr>
              <w:t xml:space="preserve">MUKAKI DUNIA Jacques</w:t>
            </w:r>
          </w:p>
        </w:tc>
      </w:tr>
      <w:tr>
        <w:trPr>
          <w:tblHeader w:val="off"/>
        </w:trPr>
        <w:tc>
          <w:tcPr>
            <w:tcW w:type="dxa" w:w="2400"/>
            <w:tcMar>
              <w:top w:type="dxa" w:w="60"/>
              <w:left w:type="dxa" w:w="100"/>
              <w:bottom w:type="dxa" w:w="60"/>
              <w:right w:type="dxa" w:w="100"/>
            </w:tcMar>
          </w:tcPr>
          <w:p>
            <w:r>
              <w:rPr>
                <w:b w:val="false"/>
                <w:bCs w:val="false"/>
                <w:i w:val="false"/>
                <w:iCs w:val="false"/>
                <w:sz w:val="19"/>
                <w:szCs w:val="19"/>
              </w:rPr>
              <w:t xml:space="preserve">Institution</w:t>
            </w:r>
          </w:p>
        </w:tc>
        <w:tc>
          <w:tcPr>
            <w:tcW w:type="dxa" w:w="6626"/>
            <w:tcMar>
              <w:top w:type="dxa" w:w="60"/>
              <w:left w:type="dxa" w:w="100"/>
              <w:bottom w:type="dxa" w:w="60"/>
              <w:right w:type="dxa" w:w="100"/>
            </w:tcMar>
          </w:tcPr>
          <w:p>
            <w:r>
              <w:rPr>
                <w:b w:val="false"/>
                <w:bCs w:val="false"/>
                <w:i w:val="false"/>
                <w:iCs w:val="false"/>
                <w:sz w:val="19"/>
                <w:szCs w:val="19"/>
              </w:rPr>
              <w:t xml:space="preserve">ENATSE, Université de Parakou (Bénin) — Master en Santé publique, Promotion de la santé</w:t>
            </w:r>
          </w:p>
        </w:tc>
      </w:tr>
      <w:tr>
        <w:trPr>
          <w:tblHeader w:val="off"/>
        </w:trPr>
        <w:tc>
          <w:tcPr>
            <w:tcW w:type="dxa" w:w="2400"/>
            <w:tcMar>
              <w:top w:type="dxa" w:w="60"/>
              <w:left w:type="dxa" w:w="100"/>
              <w:bottom w:type="dxa" w:w="60"/>
              <w:right w:type="dxa" w:w="100"/>
            </w:tcMar>
          </w:tcPr>
          <w:p>
            <w:r>
              <w:rPr>
                <w:b w:val="false"/>
                <w:bCs w:val="false"/>
                <w:i w:val="false"/>
                <w:iCs w:val="false"/>
                <w:sz w:val="19"/>
                <w:szCs w:val="19"/>
              </w:rPr>
              <w:t xml:space="preserve">Direction</w:t>
            </w:r>
          </w:p>
        </w:tc>
        <w:tc>
          <w:tcPr>
            <w:tcW w:type="dxa" w:w="6626"/>
            <w:tcMar>
              <w:top w:type="dxa" w:w="60"/>
              <w:left w:type="dxa" w:w="100"/>
              <w:bottom w:type="dxa" w:w="60"/>
              <w:right w:type="dxa" w:w="100"/>
            </w:tcMar>
          </w:tcPr>
          <w:p>
            <w:r>
              <w:rPr>
                <w:b w:val="false"/>
                <w:bCs w:val="false"/>
                <w:i w:val="false"/>
                <w:iCs w:val="false"/>
                <w:sz w:val="19"/>
                <w:szCs w:val="19"/>
              </w:rPr>
              <w:t xml:space="preserve">Professeure N. Fanny M. HOUNKPONOU AHOUINGNAN</w:t>
            </w:r>
          </w:p>
        </w:tc>
      </w:tr>
      <w:tr>
        <w:trPr>
          <w:tblHeader w:val="off"/>
        </w:trPr>
        <w:tc>
          <w:tcPr>
            <w:tcW w:type="dxa" w:w="2400"/>
            <w:tcMar>
              <w:top w:type="dxa" w:w="60"/>
              <w:left w:type="dxa" w:w="100"/>
              <w:bottom w:type="dxa" w:w="60"/>
              <w:right w:type="dxa" w:w="100"/>
            </w:tcMar>
          </w:tcPr>
          <w:p>
            <w:r>
              <w:rPr>
                <w:b w:val="false"/>
                <w:bCs w:val="false"/>
                <w:i w:val="false"/>
                <w:iCs w:val="false"/>
                <w:sz w:val="19"/>
                <w:szCs w:val="19"/>
              </w:rPr>
              <w:t xml:space="preserve">Période de collecte</w:t>
            </w:r>
          </w:p>
        </w:tc>
        <w:tc>
          <w:tcPr>
            <w:tcW w:type="dxa" w:w="6626"/>
            <w:tcMar>
              <w:top w:type="dxa" w:w="60"/>
              <w:left w:type="dxa" w:w="100"/>
              <w:bottom w:type="dxa" w:w="60"/>
              <w:right w:type="dxa" w:w="100"/>
            </w:tcMar>
          </w:tcPr>
          <w:p>
            <w:r>
              <w:rPr>
                <w:b w:val="false"/>
                <w:bCs w:val="false"/>
                <w:i w:val="false"/>
                <w:iCs w:val="false"/>
                <w:sz w:val="19"/>
                <w:szCs w:val="19"/>
              </w:rPr>
              <w:t xml:space="preserve">11 août – 30 septembre 2026 (période prévue au protocole, § 4.2.5.3)</w:t>
            </w:r>
          </w:p>
        </w:tc>
      </w:tr>
      <w:tr>
        <w:trPr>
          <w:tblHeader w:val="off"/>
        </w:trPr>
        <w:tc>
          <w:tcPr>
            <w:tcW w:type="dxa" w:w="2400"/>
            <w:tcMar>
              <w:top w:type="dxa" w:w="60"/>
              <w:left w:type="dxa" w:w="100"/>
              <w:bottom w:type="dxa" w:w="60"/>
              <w:right w:type="dxa" w:w="100"/>
            </w:tcMar>
          </w:tcPr>
          <w:p>
            <w:r>
              <w:rPr>
                <w:b w:val="false"/>
                <w:bCs w:val="false"/>
                <w:i w:val="false"/>
                <w:iCs w:val="false"/>
                <w:sz w:val="19"/>
                <w:szCs w:val="19"/>
              </w:rPr>
              <w:t xml:space="preserve">Échantillon</w:t>
            </w:r>
          </w:p>
        </w:tc>
        <w:tc>
          <w:tcPr>
            <w:tcW w:type="dxa" w:w="6626"/>
            <w:tcMar>
              <w:top w:type="dxa" w:w="60"/>
              <w:left w:type="dxa" w:w="100"/>
              <w:bottom w:type="dxa" w:w="60"/>
              <w:right w:type="dxa" w:w="100"/>
            </w:tcMar>
          </w:tcPr>
          <w:p>
            <w:r>
              <w:rPr>
                <w:b w:val="false"/>
                <w:bCs w:val="false"/>
                <w:i w:val="false"/>
                <w:iCs w:val="false"/>
                <w:sz w:val="19"/>
                <w:szCs w:val="19"/>
              </w:rPr>
              <w:t xml:space="preserve">10 infirmiers ou infirmières et 10 sages-femmes, 15 centres de santé codés (CS01 à CS15), en deux vagues</w:t>
            </w:r>
          </w:p>
        </w:tc>
      </w:tr>
    </w:tbl>
    <w:p>
      <w:r>
        <w:br w:type="page"/>
      </w:r>
    </w:p>
    <w:p>
      <w:pPr>
        <w:rPr>
          <w:i/>
          <w:iCs/>
          <w:sz w:val="19"/>
          <w:szCs w:val="19"/>
        </w:rPr>
      </w:pPr>
      <w:r>
        <w:rPr>
          <w:i/>
          <w:iCs/>
          <w:sz w:val="19"/>
          <w:szCs w:val="19"/>
        </w:rPr>
        <w:t xml:space="preserve">Valeurs d'entraînement, construites pour rester cohérentes avec les grilles d'observation et les entretiens, et calées sur les repères réels présentés en fin d'annexe. Elles ne décrivent aucun centre réel.</w:t>
      </w:r>
    </w:p>
    <w:p>
      <w:pPr>
        <w:rPr>
          <w:i/>
          <w:iCs/>
          <w:sz w:val="19"/>
          <w:szCs w:val="19"/>
        </w:rPr>
      </w:pPr>
      <w:r>
        <w:rPr>
          <w:i/>
          <w:iCs/>
          <w:sz w:val="19"/>
          <w:szCs w:val="19"/>
        </w:rPr>
        <w:t xml:space="preserve">Source et période : Direction de la santé du district (valeurs d'entraînement) — année civile 2025. Les secteurs administratifs ne sont pas nommés : ils sont désignés par le code du centre qu'ils abritent, pour qu'aucun chiffre fictif ne puisse être attribué à un lieu réel.</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800"/>
        <w:gridCol w:w="1000"/>
        <w:gridCol w:w="1400"/>
        <w:gridCol w:w="1600"/>
        <w:gridCol w:w="1100"/>
        <w:gridCol w:w="1526"/>
      </w:tblGrid>
      <w:tr>
        <w:trPr>
          <w:tblHeader/>
        </w:trPr>
        <w:tc>
          <w:tcPr>
            <w:tcW w:type="dxa" w:w="800"/>
            <w:shd w:fill="E8EDF2" w:color="auto" w:val="clear"/>
            <w:tcMar>
              <w:top w:type="dxa" w:w="60"/>
              <w:left w:type="dxa" w:w="100"/>
              <w:bottom w:type="dxa" w:w="60"/>
              <w:right w:type="dxa" w:w="100"/>
            </w:tcMar>
          </w:tcPr>
          <w:p>
            <w:r>
              <w:rPr>
                <w:b/>
                <w:bCs/>
                <w:i w:val="false"/>
                <w:iCs w:val="false"/>
                <w:sz w:val="19"/>
                <w:szCs w:val="19"/>
              </w:rPr>
              <w:t xml:space="preserve">Centre</w:t>
            </w:r>
          </w:p>
        </w:tc>
        <w:tc>
          <w:tcPr>
            <w:tcW w:type="dxa" w:w="800"/>
            <w:shd w:fill="E8EDF2" w:color="auto" w:val="clear"/>
            <w:tcMar>
              <w:top w:type="dxa" w:w="60"/>
              <w:left w:type="dxa" w:w="100"/>
              <w:bottom w:type="dxa" w:w="60"/>
              <w:right w:type="dxa" w:w="100"/>
            </w:tcMar>
          </w:tcPr>
          <w:p>
            <w:r>
              <w:rPr>
                <w:b/>
                <w:bCs/>
                <w:i w:val="false"/>
                <w:iCs w:val="false"/>
                <w:sz w:val="19"/>
                <w:szCs w:val="19"/>
              </w:rPr>
              <w:t xml:space="preserve">CPN1</w:t>
            </w:r>
          </w:p>
        </w:tc>
        <w:tc>
          <w:tcPr>
            <w:tcW w:type="dxa" w:w="800"/>
            <w:shd w:fill="E8EDF2" w:color="auto" w:val="clear"/>
            <w:tcMar>
              <w:top w:type="dxa" w:w="60"/>
              <w:left w:type="dxa" w:w="100"/>
              <w:bottom w:type="dxa" w:w="60"/>
              <w:right w:type="dxa" w:w="100"/>
            </w:tcMar>
          </w:tcPr>
          <w:p>
            <w:r>
              <w:rPr>
                <w:b/>
                <w:bCs/>
                <w:i w:val="false"/>
                <w:iCs w:val="false"/>
                <w:sz w:val="19"/>
                <w:szCs w:val="19"/>
              </w:rPr>
              <w:t xml:space="preserve">CPN4</w:t>
            </w:r>
          </w:p>
        </w:tc>
        <w:tc>
          <w:tcPr>
            <w:tcW w:type="dxa" w:w="1000"/>
            <w:shd w:fill="E8EDF2" w:color="auto" w:val="clear"/>
            <w:tcMar>
              <w:top w:type="dxa" w:w="60"/>
              <w:left w:type="dxa" w:w="100"/>
              <w:bottom w:type="dxa" w:w="60"/>
              <w:right w:type="dxa" w:w="100"/>
            </w:tcMar>
          </w:tcPr>
          <w:p>
            <w:r>
              <w:rPr>
                <w:b/>
                <w:bCs/>
                <w:i w:val="false"/>
                <w:iCs w:val="false"/>
                <w:sz w:val="19"/>
                <w:szCs w:val="19"/>
              </w:rPr>
              <w:t xml:space="preserve">CPN4 / CPN1</w:t>
            </w:r>
          </w:p>
        </w:tc>
        <w:tc>
          <w:tcPr>
            <w:tcW w:type="dxa" w:w="1400"/>
            <w:shd w:fill="E8EDF2" w:color="auto" w:val="clear"/>
            <w:tcMar>
              <w:top w:type="dxa" w:w="60"/>
              <w:left w:type="dxa" w:w="100"/>
              <w:bottom w:type="dxa" w:w="60"/>
              <w:right w:type="dxa" w:w="100"/>
            </w:tcMar>
          </w:tcPr>
          <w:p>
            <w:r>
              <w:rPr>
                <w:b/>
                <w:bCs/>
                <w:i w:val="false"/>
                <w:iCs w:val="false"/>
                <w:sz w:val="19"/>
                <w:szCs w:val="19"/>
              </w:rPr>
              <w:t xml:space="preserve">1er contact au 1er trim.</w:t>
            </w:r>
          </w:p>
        </w:tc>
        <w:tc>
          <w:tcPr>
            <w:tcW w:type="dxa" w:w="1600"/>
            <w:shd w:fill="E8EDF2" w:color="auto" w:val="clear"/>
            <w:tcMar>
              <w:top w:type="dxa" w:w="60"/>
              <w:left w:type="dxa" w:w="100"/>
              <w:bottom w:type="dxa" w:w="60"/>
              <w:right w:type="dxa" w:w="100"/>
            </w:tcMar>
          </w:tcPr>
          <w:p>
            <w:r>
              <w:rPr>
                <w:b/>
                <w:bCs/>
                <w:i w:val="false"/>
                <w:iCs w:val="false"/>
                <w:sz w:val="19"/>
                <w:szCs w:val="19"/>
              </w:rPr>
              <w:t xml:space="preserve">Référées HTA / prééclampsie</w:t>
            </w:r>
          </w:p>
        </w:tc>
        <w:tc>
          <w:tcPr>
            <w:tcW w:type="dxa" w:w="1100"/>
            <w:shd w:fill="E8EDF2" w:color="auto" w:val="clear"/>
            <w:tcMar>
              <w:top w:type="dxa" w:w="60"/>
              <w:left w:type="dxa" w:w="100"/>
              <w:bottom w:type="dxa" w:w="60"/>
              <w:right w:type="dxa" w:w="100"/>
            </w:tcMar>
          </w:tcPr>
          <w:p>
            <w:r>
              <w:rPr>
                <w:b/>
                <w:bCs/>
                <w:i w:val="false"/>
                <w:iCs w:val="false"/>
                <w:sz w:val="19"/>
                <w:szCs w:val="19"/>
              </w:rPr>
              <w:t xml:space="preserve">Effectif CPN</w:t>
            </w:r>
          </w:p>
        </w:tc>
        <w:tc>
          <w:tcPr>
            <w:tcW w:type="dxa" w:w="1526"/>
            <w:shd w:fill="E8EDF2" w:color="auto" w:val="clear"/>
            <w:tcMar>
              <w:top w:type="dxa" w:w="60"/>
              <w:left w:type="dxa" w:w="100"/>
              <w:bottom w:type="dxa" w:w="60"/>
              <w:right w:type="dxa" w:w="100"/>
            </w:tcMar>
          </w:tcPr>
          <w:p>
            <w:r>
              <w:rPr>
                <w:b/>
                <w:bCs/>
                <w:i w:val="false"/>
                <w:iCs w:val="false"/>
                <w:sz w:val="19"/>
                <w:szCs w:val="19"/>
              </w:rPr>
              <w:t xml:space="preserve">Séances d'éducation / semaine</w:t>
            </w:r>
          </w:p>
        </w:tc>
      </w:tr>
      <w:tr>
        <w:trPr>
          <w:tblHeader w:val="off"/>
        </w:trPr>
        <w:tc>
          <w:tcPr>
            <w:tcW w:type="dxa" w:w="800"/>
            <w:tcMar>
              <w:top w:type="dxa" w:w="60"/>
              <w:left w:type="dxa" w:w="100"/>
              <w:bottom w:type="dxa" w:w="60"/>
              <w:right w:type="dxa" w:w="100"/>
            </w:tcMar>
          </w:tcPr>
          <w:p>
            <w:r>
              <w:rPr>
                <w:b w:val="false"/>
                <w:bCs w:val="false"/>
                <w:i w:val="false"/>
                <w:iCs w:val="false"/>
                <w:sz w:val="19"/>
                <w:szCs w:val="19"/>
              </w:rPr>
              <w:t xml:space="preserve">CS01</w:t>
            </w:r>
          </w:p>
        </w:tc>
        <w:tc>
          <w:tcPr>
            <w:tcW w:type="dxa" w:w="800"/>
            <w:tcMar>
              <w:top w:type="dxa" w:w="60"/>
              <w:left w:type="dxa" w:w="100"/>
              <w:bottom w:type="dxa" w:w="60"/>
              <w:right w:type="dxa" w:w="100"/>
            </w:tcMar>
          </w:tcPr>
          <w:p>
            <w:r>
              <w:rPr>
                <w:b w:val="false"/>
                <w:bCs w:val="false"/>
                <w:i w:val="false"/>
                <w:iCs w:val="false"/>
                <w:sz w:val="19"/>
                <w:szCs w:val="19"/>
              </w:rPr>
              <w:t xml:space="preserve">1080</w:t>
            </w:r>
          </w:p>
        </w:tc>
        <w:tc>
          <w:tcPr>
            <w:tcW w:type="dxa" w:w="800"/>
            <w:tcMar>
              <w:top w:type="dxa" w:w="60"/>
              <w:left w:type="dxa" w:w="100"/>
              <w:bottom w:type="dxa" w:w="60"/>
              <w:right w:type="dxa" w:w="100"/>
            </w:tcMar>
          </w:tcPr>
          <w:p>
            <w:r>
              <w:rPr>
                <w:b w:val="false"/>
                <w:bCs w:val="false"/>
                <w:i w:val="false"/>
                <w:iCs w:val="false"/>
                <w:sz w:val="19"/>
                <w:szCs w:val="19"/>
              </w:rPr>
              <w:t xml:space="preserve">896</w:t>
            </w:r>
          </w:p>
        </w:tc>
        <w:tc>
          <w:tcPr>
            <w:tcW w:type="dxa" w:w="1000"/>
            <w:tcMar>
              <w:top w:type="dxa" w:w="60"/>
              <w:left w:type="dxa" w:w="100"/>
              <w:bottom w:type="dxa" w:w="60"/>
              <w:right w:type="dxa" w:w="100"/>
            </w:tcMar>
          </w:tcPr>
          <w:p>
            <w:r>
              <w:rPr>
                <w:b w:val="false"/>
                <w:bCs w:val="false"/>
                <w:i w:val="false"/>
                <w:iCs w:val="false"/>
                <w:sz w:val="19"/>
                <w:szCs w:val="19"/>
              </w:rPr>
              <w:t xml:space="preserve">83 %</w:t>
            </w:r>
          </w:p>
        </w:tc>
        <w:tc>
          <w:tcPr>
            <w:tcW w:type="dxa" w:w="1400"/>
            <w:tcMar>
              <w:top w:type="dxa" w:w="60"/>
              <w:left w:type="dxa" w:w="100"/>
              <w:bottom w:type="dxa" w:w="60"/>
              <w:right w:type="dxa" w:w="100"/>
            </w:tcMar>
          </w:tcPr>
          <w:p>
            <w:r>
              <w:rPr>
                <w:b w:val="false"/>
                <w:bCs w:val="false"/>
                <w:i w:val="false"/>
                <w:iCs w:val="false"/>
                <w:sz w:val="19"/>
                <w:szCs w:val="19"/>
              </w:rPr>
              <w:t xml:space="preserve">74 %</w:t>
            </w:r>
          </w:p>
        </w:tc>
        <w:tc>
          <w:tcPr>
            <w:tcW w:type="dxa" w:w="1600"/>
            <w:tcMar>
              <w:top w:type="dxa" w:w="60"/>
              <w:left w:type="dxa" w:w="100"/>
              <w:bottom w:type="dxa" w:w="60"/>
              <w:right w:type="dxa" w:w="100"/>
            </w:tcMar>
          </w:tcPr>
          <w:p>
            <w:r>
              <w:rPr>
                <w:b w:val="false"/>
                <w:bCs w:val="false"/>
                <w:i w:val="false"/>
                <w:iCs w:val="false"/>
                <w:sz w:val="19"/>
                <w:szCs w:val="19"/>
              </w:rPr>
              <w:t xml:space="preserve">46</w:t>
            </w:r>
          </w:p>
        </w:tc>
        <w:tc>
          <w:tcPr>
            <w:tcW w:type="dxa" w:w="1100"/>
            <w:tcMar>
              <w:top w:type="dxa" w:w="60"/>
              <w:left w:type="dxa" w:w="100"/>
              <w:bottom w:type="dxa" w:w="60"/>
              <w:right w:type="dxa" w:w="100"/>
            </w:tcMar>
          </w:tcPr>
          <w:p>
            <w:r>
              <w:rPr>
                <w:b w:val="false"/>
                <w:bCs w:val="false"/>
                <w:i w:val="false"/>
                <w:iCs w:val="false"/>
                <w:sz w:val="19"/>
                <w:szCs w:val="19"/>
              </w:rPr>
              <w:t xml:space="preserve">5</w:t>
            </w:r>
          </w:p>
        </w:tc>
        <w:tc>
          <w:tcPr>
            <w:tcW w:type="dxa" w:w="1526"/>
            <w:tcMar>
              <w:top w:type="dxa" w:w="60"/>
              <w:left w:type="dxa" w:w="100"/>
              <w:bottom w:type="dxa" w:w="60"/>
              <w:right w:type="dxa" w:w="100"/>
            </w:tcMar>
          </w:tcPr>
          <w:p>
            <w:r>
              <w:rPr>
                <w:b w:val="false"/>
                <w:bCs w:val="false"/>
                <w:i w:val="false"/>
                <w:iCs w:val="false"/>
                <w:sz w:val="19"/>
                <w:szCs w:val="19"/>
              </w:rPr>
              <w:t xml:space="preserve">3</w:t>
            </w:r>
          </w:p>
        </w:tc>
      </w:tr>
      <w:tr>
        <w:trPr>
          <w:tblHeader w:val="off"/>
        </w:trPr>
        <w:tc>
          <w:tcPr>
            <w:tcW w:type="dxa" w:w="800"/>
            <w:tcMar>
              <w:top w:type="dxa" w:w="60"/>
              <w:left w:type="dxa" w:w="100"/>
              <w:bottom w:type="dxa" w:w="60"/>
              <w:right w:type="dxa" w:w="100"/>
            </w:tcMar>
          </w:tcPr>
          <w:p>
            <w:r>
              <w:rPr>
                <w:b w:val="false"/>
                <w:bCs w:val="false"/>
                <w:i w:val="false"/>
                <w:iCs w:val="false"/>
                <w:sz w:val="19"/>
                <w:szCs w:val="19"/>
              </w:rPr>
              <w:t xml:space="preserve">CS02</w:t>
            </w:r>
          </w:p>
        </w:tc>
        <w:tc>
          <w:tcPr>
            <w:tcW w:type="dxa" w:w="800"/>
            <w:tcMar>
              <w:top w:type="dxa" w:w="60"/>
              <w:left w:type="dxa" w:w="100"/>
              <w:bottom w:type="dxa" w:w="60"/>
              <w:right w:type="dxa" w:w="100"/>
            </w:tcMar>
          </w:tcPr>
          <w:p>
            <w:r>
              <w:rPr>
                <w:b w:val="false"/>
                <w:bCs w:val="false"/>
                <w:i w:val="false"/>
                <w:iCs w:val="false"/>
                <w:sz w:val="19"/>
                <w:szCs w:val="19"/>
              </w:rPr>
              <w:t xml:space="preserve">860</w:t>
            </w:r>
          </w:p>
        </w:tc>
        <w:tc>
          <w:tcPr>
            <w:tcW w:type="dxa" w:w="800"/>
            <w:tcMar>
              <w:top w:type="dxa" w:w="60"/>
              <w:left w:type="dxa" w:w="100"/>
              <w:bottom w:type="dxa" w:w="60"/>
              <w:right w:type="dxa" w:w="100"/>
            </w:tcMar>
          </w:tcPr>
          <w:p>
            <w:r>
              <w:rPr>
                <w:b w:val="false"/>
                <w:bCs w:val="false"/>
                <w:i w:val="false"/>
                <w:iCs w:val="false"/>
                <w:sz w:val="19"/>
                <w:szCs w:val="19"/>
              </w:rPr>
              <w:t xml:space="preserve">688</w:t>
            </w:r>
          </w:p>
        </w:tc>
        <w:tc>
          <w:tcPr>
            <w:tcW w:type="dxa" w:w="1000"/>
            <w:tcMar>
              <w:top w:type="dxa" w:w="60"/>
              <w:left w:type="dxa" w:w="100"/>
              <w:bottom w:type="dxa" w:w="60"/>
              <w:right w:type="dxa" w:w="100"/>
            </w:tcMar>
          </w:tcPr>
          <w:p>
            <w:r>
              <w:rPr>
                <w:b w:val="false"/>
                <w:bCs w:val="false"/>
                <w:i w:val="false"/>
                <w:iCs w:val="false"/>
                <w:sz w:val="19"/>
                <w:szCs w:val="19"/>
              </w:rPr>
              <w:t xml:space="preserve">80 %</w:t>
            </w:r>
          </w:p>
        </w:tc>
        <w:tc>
          <w:tcPr>
            <w:tcW w:type="dxa" w:w="1400"/>
            <w:tcMar>
              <w:top w:type="dxa" w:w="60"/>
              <w:left w:type="dxa" w:w="100"/>
              <w:bottom w:type="dxa" w:w="60"/>
              <w:right w:type="dxa" w:w="100"/>
            </w:tcMar>
          </w:tcPr>
          <w:p>
            <w:r>
              <w:rPr>
                <w:b w:val="false"/>
                <w:bCs w:val="false"/>
                <w:i w:val="false"/>
                <w:iCs w:val="false"/>
                <w:sz w:val="19"/>
                <w:szCs w:val="19"/>
              </w:rPr>
              <w:t xml:space="preserve">70 %</w:t>
            </w:r>
          </w:p>
        </w:tc>
        <w:tc>
          <w:tcPr>
            <w:tcW w:type="dxa" w:w="1600"/>
            <w:tcMar>
              <w:top w:type="dxa" w:w="60"/>
              <w:left w:type="dxa" w:w="100"/>
              <w:bottom w:type="dxa" w:w="60"/>
              <w:right w:type="dxa" w:w="100"/>
            </w:tcMar>
          </w:tcPr>
          <w:p>
            <w:r>
              <w:rPr>
                <w:b w:val="false"/>
                <w:bCs w:val="false"/>
                <w:i w:val="false"/>
                <w:iCs w:val="false"/>
                <w:sz w:val="19"/>
                <w:szCs w:val="19"/>
              </w:rPr>
              <w:t xml:space="preserve">30</w:t>
            </w:r>
          </w:p>
        </w:tc>
        <w:tc>
          <w:tcPr>
            <w:tcW w:type="dxa" w:w="1100"/>
            <w:tcMar>
              <w:top w:type="dxa" w:w="60"/>
              <w:left w:type="dxa" w:w="100"/>
              <w:bottom w:type="dxa" w:w="60"/>
              <w:right w:type="dxa" w:w="100"/>
            </w:tcMar>
          </w:tcPr>
          <w:p>
            <w:r>
              <w:rPr>
                <w:b w:val="false"/>
                <w:bCs w:val="false"/>
                <w:i w:val="false"/>
                <w:iCs w:val="false"/>
                <w:sz w:val="19"/>
                <w:szCs w:val="19"/>
              </w:rPr>
              <w:t xml:space="preserve">4</w:t>
            </w:r>
          </w:p>
        </w:tc>
        <w:tc>
          <w:tcPr>
            <w:tcW w:type="dxa" w:w="1526"/>
            <w:tcMar>
              <w:top w:type="dxa" w:w="60"/>
              <w:left w:type="dxa" w:w="100"/>
              <w:bottom w:type="dxa" w:w="60"/>
              <w:right w:type="dxa" w:w="100"/>
            </w:tcMar>
          </w:tcPr>
          <w:p>
            <w:r>
              <w:rPr>
                <w:b w:val="false"/>
                <w:bCs w:val="false"/>
                <w:i w:val="false"/>
                <w:iCs w:val="false"/>
                <w:sz w:val="19"/>
                <w:szCs w:val="19"/>
              </w:rPr>
              <w:t xml:space="preserve">3</w:t>
            </w:r>
          </w:p>
        </w:tc>
      </w:tr>
      <w:tr>
        <w:trPr>
          <w:tblHeader w:val="off"/>
        </w:trPr>
        <w:tc>
          <w:tcPr>
            <w:tcW w:type="dxa" w:w="800"/>
            <w:tcMar>
              <w:top w:type="dxa" w:w="60"/>
              <w:left w:type="dxa" w:w="100"/>
              <w:bottom w:type="dxa" w:w="60"/>
              <w:right w:type="dxa" w:w="100"/>
            </w:tcMar>
          </w:tcPr>
          <w:p>
            <w:r>
              <w:rPr>
                <w:b w:val="false"/>
                <w:bCs w:val="false"/>
                <w:i w:val="false"/>
                <w:iCs w:val="false"/>
                <w:sz w:val="19"/>
                <w:szCs w:val="19"/>
              </w:rPr>
              <w:t xml:space="preserve">CS03</w:t>
            </w:r>
          </w:p>
        </w:tc>
        <w:tc>
          <w:tcPr>
            <w:tcW w:type="dxa" w:w="800"/>
            <w:tcMar>
              <w:top w:type="dxa" w:w="60"/>
              <w:left w:type="dxa" w:w="100"/>
              <w:bottom w:type="dxa" w:w="60"/>
              <w:right w:type="dxa" w:w="100"/>
            </w:tcMar>
          </w:tcPr>
          <w:p>
            <w:r>
              <w:rPr>
                <w:b w:val="false"/>
                <w:bCs w:val="false"/>
                <w:i w:val="false"/>
                <w:iCs w:val="false"/>
                <w:sz w:val="19"/>
                <w:szCs w:val="19"/>
              </w:rPr>
              <w:t xml:space="preserve">990</w:t>
            </w:r>
          </w:p>
        </w:tc>
        <w:tc>
          <w:tcPr>
            <w:tcW w:type="dxa" w:w="800"/>
            <w:tcMar>
              <w:top w:type="dxa" w:w="60"/>
              <w:left w:type="dxa" w:w="100"/>
              <w:bottom w:type="dxa" w:w="60"/>
              <w:right w:type="dxa" w:w="100"/>
            </w:tcMar>
          </w:tcPr>
          <w:p>
            <w:r>
              <w:rPr>
                <w:b w:val="false"/>
                <w:bCs w:val="false"/>
                <w:i w:val="false"/>
                <w:iCs w:val="false"/>
                <w:sz w:val="19"/>
                <w:szCs w:val="19"/>
              </w:rPr>
              <w:t xml:space="preserve">812</w:t>
            </w:r>
          </w:p>
        </w:tc>
        <w:tc>
          <w:tcPr>
            <w:tcW w:type="dxa" w:w="1000"/>
            <w:tcMar>
              <w:top w:type="dxa" w:w="60"/>
              <w:left w:type="dxa" w:w="100"/>
              <w:bottom w:type="dxa" w:w="60"/>
              <w:right w:type="dxa" w:w="100"/>
            </w:tcMar>
          </w:tcPr>
          <w:p>
            <w:r>
              <w:rPr>
                <w:b w:val="false"/>
                <w:bCs w:val="false"/>
                <w:i w:val="false"/>
                <w:iCs w:val="false"/>
                <w:sz w:val="19"/>
                <w:szCs w:val="19"/>
              </w:rPr>
              <w:t xml:space="preserve">82 %</w:t>
            </w:r>
          </w:p>
        </w:tc>
        <w:tc>
          <w:tcPr>
            <w:tcW w:type="dxa" w:w="1400"/>
            <w:tcMar>
              <w:top w:type="dxa" w:w="60"/>
              <w:left w:type="dxa" w:w="100"/>
              <w:bottom w:type="dxa" w:w="60"/>
              <w:right w:type="dxa" w:w="100"/>
            </w:tcMar>
          </w:tcPr>
          <w:p>
            <w:r>
              <w:rPr>
                <w:b w:val="false"/>
                <w:bCs w:val="false"/>
                <w:i w:val="false"/>
                <w:iCs w:val="false"/>
                <w:sz w:val="19"/>
                <w:szCs w:val="19"/>
              </w:rPr>
              <w:t xml:space="preserve">72 %</w:t>
            </w:r>
          </w:p>
        </w:tc>
        <w:tc>
          <w:tcPr>
            <w:tcW w:type="dxa" w:w="1600"/>
            <w:tcMar>
              <w:top w:type="dxa" w:w="60"/>
              <w:left w:type="dxa" w:w="100"/>
              <w:bottom w:type="dxa" w:w="60"/>
              <w:right w:type="dxa" w:w="100"/>
            </w:tcMar>
          </w:tcPr>
          <w:p>
            <w:r>
              <w:rPr>
                <w:b w:val="false"/>
                <w:bCs w:val="false"/>
                <w:i w:val="false"/>
                <w:iCs w:val="false"/>
                <w:sz w:val="19"/>
                <w:szCs w:val="19"/>
              </w:rPr>
              <w:t xml:space="preserve">41</w:t>
            </w:r>
          </w:p>
        </w:tc>
        <w:tc>
          <w:tcPr>
            <w:tcW w:type="dxa" w:w="1100"/>
            <w:tcMar>
              <w:top w:type="dxa" w:w="60"/>
              <w:left w:type="dxa" w:w="100"/>
              <w:bottom w:type="dxa" w:w="60"/>
              <w:right w:type="dxa" w:w="100"/>
            </w:tcMar>
          </w:tcPr>
          <w:p>
            <w:r>
              <w:rPr>
                <w:b w:val="false"/>
                <w:bCs w:val="false"/>
                <w:i w:val="false"/>
                <w:iCs w:val="false"/>
                <w:sz w:val="19"/>
                <w:szCs w:val="19"/>
              </w:rPr>
              <w:t xml:space="preserve">5</w:t>
            </w:r>
          </w:p>
        </w:tc>
        <w:tc>
          <w:tcPr>
            <w:tcW w:type="dxa" w:w="1526"/>
            <w:tcMar>
              <w:top w:type="dxa" w:w="60"/>
              <w:left w:type="dxa" w:w="100"/>
              <w:bottom w:type="dxa" w:w="60"/>
              <w:right w:type="dxa" w:w="100"/>
            </w:tcMar>
          </w:tcPr>
          <w:p>
            <w:r>
              <w:rPr>
                <w:b w:val="false"/>
                <w:bCs w:val="false"/>
                <w:i w:val="false"/>
                <w:iCs w:val="false"/>
                <w:sz w:val="19"/>
                <w:szCs w:val="19"/>
              </w:rPr>
              <w:t xml:space="preserve">3</w:t>
            </w:r>
          </w:p>
        </w:tc>
      </w:tr>
      <w:tr>
        <w:trPr>
          <w:tblHeader w:val="off"/>
        </w:trPr>
        <w:tc>
          <w:tcPr>
            <w:tcW w:type="dxa" w:w="800"/>
            <w:tcMar>
              <w:top w:type="dxa" w:w="60"/>
              <w:left w:type="dxa" w:w="100"/>
              <w:bottom w:type="dxa" w:w="60"/>
              <w:right w:type="dxa" w:w="100"/>
            </w:tcMar>
          </w:tcPr>
          <w:p>
            <w:r>
              <w:rPr>
                <w:b w:val="false"/>
                <w:bCs w:val="false"/>
                <w:i w:val="false"/>
                <w:iCs w:val="false"/>
                <w:sz w:val="19"/>
                <w:szCs w:val="19"/>
              </w:rPr>
              <w:t xml:space="preserve">CS04</w:t>
            </w:r>
          </w:p>
        </w:tc>
        <w:tc>
          <w:tcPr>
            <w:tcW w:type="dxa" w:w="800"/>
            <w:tcMar>
              <w:top w:type="dxa" w:w="60"/>
              <w:left w:type="dxa" w:w="100"/>
              <w:bottom w:type="dxa" w:w="60"/>
              <w:right w:type="dxa" w:w="100"/>
            </w:tcMar>
          </w:tcPr>
          <w:p>
            <w:r>
              <w:rPr>
                <w:b w:val="false"/>
                <w:bCs w:val="false"/>
                <w:i w:val="false"/>
                <w:iCs w:val="false"/>
                <w:sz w:val="19"/>
                <w:szCs w:val="19"/>
              </w:rPr>
              <w:t xml:space="preserve">560</w:t>
            </w:r>
          </w:p>
        </w:tc>
        <w:tc>
          <w:tcPr>
            <w:tcW w:type="dxa" w:w="800"/>
            <w:tcMar>
              <w:top w:type="dxa" w:w="60"/>
              <w:left w:type="dxa" w:w="100"/>
              <w:bottom w:type="dxa" w:w="60"/>
              <w:right w:type="dxa" w:w="100"/>
            </w:tcMar>
          </w:tcPr>
          <w:p>
            <w:r>
              <w:rPr>
                <w:b w:val="false"/>
                <w:bCs w:val="false"/>
                <w:i w:val="false"/>
                <w:iCs w:val="false"/>
                <w:sz w:val="19"/>
                <w:szCs w:val="19"/>
              </w:rPr>
              <w:t xml:space="preserve">392</w:t>
            </w:r>
          </w:p>
        </w:tc>
        <w:tc>
          <w:tcPr>
            <w:tcW w:type="dxa" w:w="1000"/>
            <w:tcMar>
              <w:top w:type="dxa" w:w="60"/>
              <w:left w:type="dxa" w:w="100"/>
              <w:bottom w:type="dxa" w:w="60"/>
              <w:right w:type="dxa" w:w="100"/>
            </w:tcMar>
          </w:tcPr>
          <w:p>
            <w:r>
              <w:rPr>
                <w:b w:val="false"/>
                <w:bCs w:val="false"/>
                <w:i w:val="false"/>
                <w:iCs w:val="false"/>
                <w:sz w:val="19"/>
                <w:szCs w:val="19"/>
              </w:rPr>
              <w:t xml:space="preserve">70 %</w:t>
            </w:r>
          </w:p>
        </w:tc>
        <w:tc>
          <w:tcPr>
            <w:tcW w:type="dxa" w:w="1400"/>
            <w:tcMar>
              <w:top w:type="dxa" w:w="60"/>
              <w:left w:type="dxa" w:w="100"/>
              <w:bottom w:type="dxa" w:w="60"/>
              <w:right w:type="dxa" w:w="100"/>
            </w:tcMar>
          </w:tcPr>
          <w:p>
            <w:r>
              <w:rPr>
                <w:b w:val="false"/>
                <w:bCs w:val="false"/>
                <w:i w:val="false"/>
                <w:iCs w:val="false"/>
                <w:sz w:val="19"/>
                <w:szCs w:val="19"/>
              </w:rPr>
              <w:t xml:space="preserve">60 %</w:t>
            </w:r>
          </w:p>
        </w:tc>
        <w:tc>
          <w:tcPr>
            <w:tcW w:type="dxa" w:w="1600"/>
            <w:tcMar>
              <w:top w:type="dxa" w:w="60"/>
              <w:left w:type="dxa" w:w="100"/>
              <w:bottom w:type="dxa" w:w="60"/>
              <w:right w:type="dxa" w:w="100"/>
            </w:tcMar>
          </w:tcPr>
          <w:p>
            <w:r>
              <w:rPr>
                <w:b w:val="false"/>
                <w:bCs w:val="false"/>
                <w:i w:val="false"/>
                <w:iCs w:val="false"/>
                <w:sz w:val="19"/>
                <w:szCs w:val="19"/>
              </w:rPr>
              <w:t xml:space="preserve">8</w:t>
            </w:r>
          </w:p>
        </w:tc>
        <w:tc>
          <w:tcPr>
            <w:tcW w:type="dxa" w:w="1100"/>
            <w:tcMar>
              <w:top w:type="dxa" w:w="60"/>
              <w:left w:type="dxa" w:w="100"/>
              <w:bottom w:type="dxa" w:w="60"/>
              <w:right w:type="dxa" w:w="100"/>
            </w:tcMar>
          </w:tcPr>
          <w:p>
            <w:r>
              <w:rPr>
                <w:b w:val="false"/>
                <w:bCs w:val="false"/>
                <w:i w:val="false"/>
                <w:iCs w:val="false"/>
                <w:sz w:val="19"/>
                <w:szCs w:val="19"/>
              </w:rPr>
              <w:t xml:space="preserve">3</w:t>
            </w:r>
          </w:p>
        </w:tc>
        <w:tc>
          <w:tcPr>
            <w:tcW w:type="dxa" w:w="1526"/>
            <w:tcMar>
              <w:top w:type="dxa" w:w="60"/>
              <w:left w:type="dxa" w:w="100"/>
              <w:bottom w:type="dxa" w:w="60"/>
              <w:right w:type="dxa" w:w="100"/>
            </w:tcMar>
          </w:tcPr>
          <w:p>
            <w:r>
              <w:rPr>
                <w:b w:val="false"/>
                <w:bCs w:val="false"/>
                <w:i w:val="false"/>
                <w:iCs w:val="false"/>
                <w:sz w:val="19"/>
                <w:szCs w:val="19"/>
              </w:rPr>
              <w:t xml:space="preserve">2</w:t>
            </w:r>
          </w:p>
        </w:tc>
      </w:tr>
      <w:tr>
        <w:trPr>
          <w:tblHeader w:val="off"/>
        </w:trPr>
        <w:tc>
          <w:tcPr>
            <w:tcW w:type="dxa" w:w="800"/>
            <w:tcMar>
              <w:top w:type="dxa" w:w="60"/>
              <w:left w:type="dxa" w:w="100"/>
              <w:bottom w:type="dxa" w:w="60"/>
              <w:right w:type="dxa" w:w="100"/>
            </w:tcMar>
          </w:tcPr>
          <w:p>
            <w:r>
              <w:rPr>
                <w:b w:val="false"/>
                <w:bCs w:val="false"/>
                <w:i w:val="false"/>
                <w:iCs w:val="false"/>
                <w:sz w:val="19"/>
                <w:szCs w:val="19"/>
              </w:rPr>
              <w:t xml:space="preserve">CS05</w:t>
            </w:r>
          </w:p>
        </w:tc>
        <w:tc>
          <w:tcPr>
            <w:tcW w:type="dxa" w:w="800"/>
            <w:tcMar>
              <w:top w:type="dxa" w:w="60"/>
              <w:left w:type="dxa" w:w="100"/>
              <w:bottom w:type="dxa" w:w="60"/>
              <w:right w:type="dxa" w:w="100"/>
            </w:tcMar>
          </w:tcPr>
          <w:p>
            <w:r>
              <w:rPr>
                <w:b w:val="false"/>
                <w:bCs w:val="false"/>
                <w:i w:val="false"/>
                <w:iCs w:val="false"/>
                <w:sz w:val="19"/>
                <w:szCs w:val="19"/>
              </w:rPr>
              <w:t xml:space="preserve">430</w:t>
            </w:r>
          </w:p>
        </w:tc>
        <w:tc>
          <w:tcPr>
            <w:tcW w:type="dxa" w:w="800"/>
            <w:tcMar>
              <w:top w:type="dxa" w:w="60"/>
              <w:left w:type="dxa" w:w="100"/>
              <w:bottom w:type="dxa" w:w="60"/>
              <w:right w:type="dxa" w:w="100"/>
            </w:tcMar>
          </w:tcPr>
          <w:p>
            <w:r>
              <w:rPr>
                <w:b w:val="false"/>
                <w:bCs w:val="false"/>
                <w:i w:val="false"/>
                <w:iCs w:val="false"/>
                <w:sz w:val="19"/>
                <w:szCs w:val="19"/>
              </w:rPr>
              <w:t xml:space="preserve">275</w:t>
            </w:r>
          </w:p>
        </w:tc>
        <w:tc>
          <w:tcPr>
            <w:tcW w:type="dxa" w:w="1000"/>
            <w:tcMar>
              <w:top w:type="dxa" w:w="60"/>
              <w:left w:type="dxa" w:w="100"/>
              <w:bottom w:type="dxa" w:w="60"/>
              <w:right w:type="dxa" w:w="100"/>
            </w:tcMar>
          </w:tcPr>
          <w:p>
            <w:r>
              <w:rPr>
                <w:b w:val="false"/>
                <w:bCs w:val="false"/>
                <w:i w:val="false"/>
                <w:iCs w:val="false"/>
                <w:sz w:val="19"/>
                <w:szCs w:val="19"/>
              </w:rPr>
              <w:t xml:space="preserve">64 %</w:t>
            </w:r>
          </w:p>
        </w:tc>
        <w:tc>
          <w:tcPr>
            <w:tcW w:type="dxa" w:w="1400"/>
            <w:tcMar>
              <w:top w:type="dxa" w:w="60"/>
              <w:left w:type="dxa" w:w="100"/>
              <w:bottom w:type="dxa" w:w="60"/>
              <w:right w:type="dxa" w:w="100"/>
            </w:tcMar>
          </w:tcPr>
          <w:p>
            <w:r>
              <w:rPr>
                <w:b w:val="false"/>
                <w:bCs w:val="false"/>
                <w:i w:val="false"/>
                <w:iCs w:val="false"/>
                <w:sz w:val="19"/>
                <w:szCs w:val="19"/>
              </w:rPr>
              <w:t xml:space="preserve">56 %</w:t>
            </w:r>
          </w:p>
        </w:tc>
        <w:tc>
          <w:tcPr>
            <w:tcW w:type="dxa" w:w="1600"/>
            <w:tcMar>
              <w:top w:type="dxa" w:w="60"/>
              <w:left w:type="dxa" w:w="100"/>
              <w:bottom w:type="dxa" w:w="60"/>
              <w:right w:type="dxa" w:w="100"/>
            </w:tcMar>
          </w:tcPr>
          <w:p>
            <w:r>
              <w:rPr>
                <w:b w:val="false"/>
                <w:bCs w:val="false"/>
                <w:i w:val="false"/>
                <w:iCs w:val="false"/>
                <w:sz w:val="19"/>
                <w:szCs w:val="19"/>
              </w:rPr>
              <w:t xml:space="preserve">6</w:t>
            </w:r>
          </w:p>
        </w:tc>
        <w:tc>
          <w:tcPr>
            <w:tcW w:type="dxa" w:w="1100"/>
            <w:tcMar>
              <w:top w:type="dxa" w:w="60"/>
              <w:left w:type="dxa" w:w="100"/>
              <w:bottom w:type="dxa" w:w="60"/>
              <w:right w:type="dxa" w:w="100"/>
            </w:tcMar>
          </w:tcPr>
          <w:p>
            <w:r>
              <w:rPr>
                <w:b w:val="false"/>
                <w:bCs w:val="false"/>
                <w:i w:val="false"/>
                <w:iCs w:val="false"/>
                <w:sz w:val="19"/>
                <w:szCs w:val="19"/>
              </w:rPr>
              <w:t xml:space="preserve">2</w:t>
            </w:r>
          </w:p>
        </w:tc>
        <w:tc>
          <w:tcPr>
            <w:tcW w:type="dxa" w:w="1526"/>
            <w:tcMar>
              <w:top w:type="dxa" w:w="60"/>
              <w:left w:type="dxa" w:w="100"/>
              <w:bottom w:type="dxa" w:w="60"/>
              <w:right w:type="dxa" w:w="100"/>
            </w:tcMar>
          </w:tcPr>
          <w:p>
            <w:r>
              <w:rPr>
                <w:b w:val="false"/>
                <w:bCs w:val="false"/>
                <w:i w:val="false"/>
                <w:iCs w:val="false"/>
                <w:sz w:val="19"/>
                <w:szCs w:val="19"/>
              </w:rPr>
              <w:t xml:space="preserve">2</w:t>
            </w:r>
          </w:p>
        </w:tc>
      </w:tr>
      <w:tr>
        <w:trPr>
          <w:tblHeader w:val="off"/>
        </w:trPr>
        <w:tc>
          <w:tcPr>
            <w:tcW w:type="dxa" w:w="800"/>
            <w:tcMar>
              <w:top w:type="dxa" w:w="60"/>
              <w:left w:type="dxa" w:w="100"/>
              <w:bottom w:type="dxa" w:w="60"/>
              <w:right w:type="dxa" w:w="100"/>
            </w:tcMar>
          </w:tcPr>
          <w:p>
            <w:r>
              <w:rPr>
                <w:b w:val="false"/>
                <w:bCs w:val="false"/>
                <w:i w:val="false"/>
                <w:iCs w:val="false"/>
                <w:sz w:val="19"/>
                <w:szCs w:val="19"/>
              </w:rPr>
              <w:t xml:space="preserve">CS06</w:t>
            </w:r>
          </w:p>
        </w:tc>
        <w:tc>
          <w:tcPr>
            <w:tcW w:type="dxa" w:w="800"/>
            <w:tcMar>
              <w:top w:type="dxa" w:w="60"/>
              <w:left w:type="dxa" w:w="100"/>
              <w:bottom w:type="dxa" w:w="60"/>
              <w:right w:type="dxa" w:w="100"/>
            </w:tcMar>
          </w:tcPr>
          <w:p>
            <w:r>
              <w:rPr>
                <w:b w:val="false"/>
                <w:bCs w:val="false"/>
                <w:i w:val="false"/>
                <w:iCs w:val="false"/>
                <w:sz w:val="19"/>
                <w:szCs w:val="19"/>
              </w:rPr>
              <w:t xml:space="preserve">900</w:t>
            </w:r>
          </w:p>
        </w:tc>
        <w:tc>
          <w:tcPr>
            <w:tcW w:type="dxa" w:w="800"/>
            <w:tcMar>
              <w:top w:type="dxa" w:w="60"/>
              <w:left w:type="dxa" w:w="100"/>
              <w:bottom w:type="dxa" w:w="60"/>
              <w:right w:type="dxa" w:w="100"/>
            </w:tcMar>
          </w:tcPr>
          <w:p>
            <w:r>
              <w:rPr>
                <w:b w:val="false"/>
                <w:bCs w:val="false"/>
                <w:i w:val="false"/>
                <w:iCs w:val="false"/>
                <w:sz w:val="19"/>
                <w:szCs w:val="19"/>
              </w:rPr>
              <w:t xml:space="preserve">711</w:t>
            </w:r>
          </w:p>
        </w:tc>
        <w:tc>
          <w:tcPr>
            <w:tcW w:type="dxa" w:w="1000"/>
            <w:tcMar>
              <w:top w:type="dxa" w:w="60"/>
              <w:left w:type="dxa" w:w="100"/>
              <w:bottom w:type="dxa" w:w="60"/>
              <w:right w:type="dxa" w:w="100"/>
            </w:tcMar>
          </w:tcPr>
          <w:p>
            <w:r>
              <w:rPr>
                <w:b w:val="false"/>
                <w:bCs w:val="false"/>
                <w:i w:val="false"/>
                <w:iCs w:val="false"/>
                <w:sz w:val="19"/>
                <w:szCs w:val="19"/>
              </w:rPr>
              <w:t xml:space="preserve">79 %</w:t>
            </w:r>
          </w:p>
        </w:tc>
        <w:tc>
          <w:tcPr>
            <w:tcW w:type="dxa" w:w="1400"/>
            <w:tcMar>
              <w:top w:type="dxa" w:w="60"/>
              <w:left w:type="dxa" w:w="100"/>
              <w:bottom w:type="dxa" w:w="60"/>
              <w:right w:type="dxa" w:w="100"/>
            </w:tcMar>
          </w:tcPr>
          <w:p>
            <w:r>
              <w:rPr>
                <w:b w:val="false"/>
                <w:bCs w:val="false"/>
                <w:i w:val="false"/>
                <w:iCs w:val="false"/>
                <w:sz w:val="19"/>
                <w:szCs w:val="19"/>
              </w:rPr>
              <w:t xml:space="preserve">69 %</w:t>
            </w:r>
          </w:p>
        </w:tc>
        <w:tc>
          <w:tcPr>
            <w:tcW w:type="dxa" w:w="1600"/>
            <w:tcMar>
              <w:top w:type="dxa" w:w="60"/>
              <w:left w:type="dxa" w:w="100"/>
              <w:bottom w:type="dxa" w:w="60"/>
              <w:right w:type="dxa" w:w="100"/>
            </w:tcMar>
          </w:tcPr>
          <w:p>
            <w:r>
              <w:rPr>
                <w:b w:val="false"/>
                <w:bCs w:val="false"/>
                <w:i w:val="false"/>
                <w:iCs w:val="false"/>
                <w:sz w:val="19"/>
                <w:szCs w:val="19"/>
              </w:rPr>
              <w:t xml:space="preserve">33</w:t>
            </w:r>
          </w:p>
        </w:tc>
        <w:tc>
          <w:tcPr>
            <w:tcW w:type="dxa" w:w="1100"/>
            <w:tcMar>
              <w:top w:type="dxa" w:w="60"/>
              <w:left w:type="dxa" w:w="100"/>
              <w:bottom w:type="dxa" w:w="60"/>
              <w:right w:type="dxa" w:w="100"/>
            </w:tcMar>
          </w:tcPr>
          <w:p>
            <w:r>
              <w:rPr>
                <w:b w:val="false"/>
                <w:bCs w:val="false"/>
                <w:i w:val="false"/>
                <w:iCs w:val="false"/>
                <w:sz w:val="19"/>
                <w:szCs w:val="19"/>
              </w:rPr>
              <w:t xml:space="preserve">4</w:t>
            </w:r>
          </w:p>
        </w:tc>
        <w:tc>
          <w:tcPr>
            <w:tcW w:type="dxa" w:w="1526"/>
            <w:tcMar>
              <w:top w:type="dxa" w:w="60"/>
              <w:left w:type="dxa" w:w="100"/>
              <w:bottom w:type="dxa" w:w="60"/>
              <w:right w:type="dxa" w:w="100"/>
            </w:tcMar>
          </w:tcPr>
          <w:p>
            <w:r>
              <w:rPr>
                <w:b w:val="false"/>
                <w:bCs w:val="false"/>
                <w:i w:val="false"/>
                <w:iCs w:val="false"/>
                <w:sz w:val="19"/>
                <w:szCs w:val="19"/>
              </w:rPr>
              <w:t xml:space="preserve">3</w:t>
            </w:r>
          </w:p>
        </w:tc>
      </w:tr>
      <w:tr>
        <w:trPr>
          <w:tblHeader w:val="off"/>
        </w:trPr>
        <w:tc>
          <w:tcPr>
            <w:tcW w:type="dxa" w:w="800"/>
            <w:tcMar>
              <w:top w:type="dxa" w:w="60"/>
              <w:left w:type="dxa" w:w="100"/>
              <w:bottom w:type="dxa" w:w="60"/>
              <w:right w:type="dxa" w:w="100"/>
            </w:tcMar>
          </w:tcPr>
          <w:p>
            <w:r>
              <w:rPr>
                <w:b w:val="false"/>
                <w:bCs w:val="false"/>
                <w:i w:val="false"/>
                <w:iCs w:val="false"/>
                <w:sz w:val="19"/>
                <w:szCs w:val="19"/>
              </w:rPr>
              <w:t xml:space="preserve">CS07</w:t>
            </w:r>
          </w:p>
        </w:tc>
        <w:tc>
          <w:tcPr>
            <w:tcW w:type="dxa" w:w="800"/>
            <w:tcMar>
              <w:top w:type="dxa" w:w="60"/>
              <w:left w:type="dxa" w:w="100"/>
              <w:bottom w:type="dxa" w:w="60"/>
              <w:right w:type="dxa" w:w="100"/>
            </w:tcMar>
          </w:tcPr>
          <w:p>
            <w:r>
              <w:rPr>
                <w:b w:val="false"/>
                <w:bCs w:val="false"/>
                <w:i w:val="false"/>
                <w:iCs w:val="false"/>
                <w:sz w:val="19"/>
                <w:szCs w:val="19"/>
              </w:rPr>
              <w:t xml:space="preserve">590</w:t>
            </w:r>
          </w:p>
        </w:tc>
        <w:tc>
          <w:tcPr>
            <w:tcW w:type="dxa" w:w="800"/>
            <w:tcMar>
              <w:top w:type="dxa" w:w="60"/>
              <w:left w:type="dxa" w:w="100"/>
              <w:bottom w:type="dxa" w:w="60"/>
              <w:right w:type="dxa" w:w="100"/>
            </w:tcMar>
          </w:tcPr>
          <w:p>
            <w:r>
              <w:rPr>
                <w:b w:val="false"/>
                <w:bCs w:val="false"/>
                <w:i w:val="false"/>
                <w:iCs w:val="false"/>
                <w:sz w:val="19"/>
                <w:szCs w:val="19"/>
              </w:rPr>
              <w:t xml:space="preserve">401</w:t>
            </w:r>
          </w:p>
        </w:tc>
        <w:tc>
          <w:tcPr>
            <w:tcW w:type="dxa" w:w="1000"/>
            <w:tcMar>
              <w:top w:type="dxa" w:w="60"/>
              <w:left w:type="dxa" w:w="100"/>
              <w:bottom w:type="dxa" w:w="60"/>
              <w:right w:type="dxa" w:w="100"/>
            </w:tcMar>
          </w:tcPr>
          <w:p>
            <w:r>
              <w:rPr>
                <w:b w:val="false"/>
                <w:bCs w:val="false"/>
                <w:i w:val="false"/>
                <w:iCs w:val="false"/>
                <w:sz w:val="19"/>
                <w:szCs w:val="19"/>
              </w:rPr>
              <w:t xml:space="preserve">68 %</w:t>
            </w:r>
          </w:p>
        </w:tc>
        <w:tc>
          <w:tcPr>
            <w:tcW w:type="dxa" w:w="1400"/>
            <w:tcMar>
              <w:top w:type="dxa" w:w="60"/>
              <w:left w:type="dxa" w:w="100"/>
              <w:bottom w:type="dxa" w:w="60"/>
              <w:right w:type="dxa" w:w="100"/>
            </w:tcMar>
          </w:tcPr>
          <w:p>
            <w:r>
              <w:rPr>
                <w:b w:val="false"/>
                <w:bCs w:val="false"/>
                <w:i w:val="false"/>
                <w:iCs w:val="false"/>
                <w:sz w:val="19"/>
                <w:szCs w:val="19"/>
              </w:rPr>
              <w:t xml:space="preserve">59 %</w:t>
            </w:r>
          </w:p>
        </w:tc>
        <w:tc>
          <w:tcPr>
            <w:tcW w:type="dxa" w:w="1600"/>
            <w:tcMar>
              <w:top w:type="dxa" w:w="60"/>
              <w:left w:type="dxa" w:w="100"/>
              <w:bottom w:type="dxa" w:w="60"/>
              <w:right w:type="dxa" w:w="100"/>
            </w:tcMar>
          </w:tcPr>
          <w:p>
            <w:r>
              <w:rPr>
                <w:b w:val="false"/>
                <w:bCs w:val="false"/>
                <w:i w:val="false"/>
                <w:iCs w:val="false"/>
                <w:sz w:val="19"/>
                <w:szCs w:val="19"/>
              </w:rPr>
              <w:t xml:space="preserve">9</w:t>
            </w:r>
          </w:p>
        </w:tc>
        <w:tc>
          <w:tcPr>
            <w:tcW w:type="dxa" w:w="1100"/>
            <w:tcMar>
              <w:top w:type="dxa" w:w="60"/>
              <w:left w:type="dxa" w:w="100"/>
              <w:bottom w:type="dxa" w:w="60"/>
              <w:right w:type="dxa" w:w="100"/>
            </w:tcMar>
          </w:tcPr>
          <w:p>
            <w:r>
              <w:rPr>
                <w:b w:val="false"/>
                <w:bCs w:val="false"/>
                <w:i w:val="false"/>
                <w:iCs w:val="false"/>
                <w:sz w:val="19"/>
                <w:szCs w:val="19"/>
              </w:rPr>
              <w:t xml:space="preserve">3</w:t>
            </w:r>
          </w:p>
        </w:tc>
        <w:tc>
          <w:tcPr>
            <w:tcW w:type="dxa" w:w="1526"/>
            <w:tcMar>
              <w:top w:type="dxa" w:w="60"/>
              <w:left w:type="dxa" w:w="100"/>
              <w:bottom w:type="dxa" w:w="60"/>
              <w:right w:type="dxa" w:w="100"/>
            </w:tcMar>
          </w:tcPr>
          <w:p>
            <w:r>
              <w:rPr>
                <w:b w:val="false"/>
                <w:bCs w:val="false"/>
                <w:i w:val="false"/>
                <w:iCs w:val="false"/>
                <w:sz w:val="19"/>
                <w:szCs w:val="19"/>
              </w:rPr>
              <w:t xml:space="preserve">2</w:t>
            </w:r>
          </w:p>
        </w:tc>
      </w:tr>
      <w:tr>
        <w:trPr>
          <w:tblHeader w:val="off"/>
        </w:trPr>
        <w:tc>
          <w:tcPr>
            <w:tcW w:type="dxa" w:w="800"/>
            <w:tcMar>
              <w:top w:type="dxa" w:w="60"/>
              <w:left w:type="dxa" w:w="100"/>
              <w:bottom w:type="dxa" w:w="60"/>
              <w:right w:type="dxa" w:w="100"/>
            </w:tcMar>
          </w:tcPr>
          <w:p>
            <w:r>
              <w:rPr>
                <w:b w:val="false"/>
                <w:bCs w:val="false"/>
                <w:i w:val="false"/>
                <w:iCs w:val="false"/>
                <w:sz w:val="19"/>
                <w:szCs w:val="19"/>
              </w:rPr>
              <w:t xml:space="preserve">CS08</w:t>
            </w:r>
          </w:p>
        </w:tc>
        <w:tc>
          <w:tcPr>
            <w:tcW w:type="dxa" w:w="800"/>
            <w:tcMar>
              <w:top w:type="dxa" w:w="60"/>
              <w:left w:type="dxa" w:w="100"/>
              <w:bottom w:type="dxa" w:w="60"/>
              <w:right w:type="dxa" w:w="100"/>
            </w:tcMar>
          </w:tcPr>
          <w:p>
            <w:r>
              <w:rPr>
                <w:b w:val="false"/>
                <w:bCs w:val="false"/>
                <w:i w:val="false"/>
                <w:iCs w:val="false"/>
                <w:sz w:val="19"/>
                <w:szCs w:val="19"/>
              </w:rPr>
              <w:t xml:space="preserve">610</w:t>
            </w:r>
          </w:p>
        </w:tc>
        <w:tc>
          <w:tcPr>
            <w:tcW w:type="dxa" w:w="800"/>
            <w:tcMar>
              <w:top w:type="dxa" w:w="60"/>
              <w:left w:type="dxa" w:w="100"/>
              <w:bottom w:type="dxa" w:w="60"/>
              <w:right w:type="dxa" w:w="100"/>
            </w:tcMar>
          </w:tcPr>
          <w:p>
            <w:r>
              <w:rPr>
                <w:b w:val="false"/>
                <w:bCs w:val="false"/>
                <w:i w:val="false"/>
                <w:iCs w:val="false"/>
                <w:sz w:val="19"/>
                <w:szCs w:val="19"/>
              </w:rPr>
              <w:t xml:space="preserve">439</w:t>
            </w:r>
          </w:p>
        </w:tc>
        <w:tc>
          <w:tcPr>
            <w:tcW w:type="dxa" w:w="1000"/>
            <w:tcMar>
              <w:top w:type="dxa" w:w="60"/>
              <w:left w:type="dxa" w:w="100"/>
              <w:bottom w:type="dxa" w:w="60"/>
              <w:right w:type="dxa" w:w="100"/>
            </w:tcMar>
          </w:tcPr>
          <w:p>
            <w:r>
              <w:rPr>
                <w:b w:val="false"/>
                <w:bCs w:val="false"/>
                <w:i w:val="false"/>
                <w:iCs w:val="false"/>
                <w:sz w:val="19"/>
                <w:szCs w:val="19"/>
              </w:rPr>
              <w:t xml:space="preserve">72 %</w:t>
            </w:r>
          </w:p>
        </w:tc>
        <w:tc>
          <w:tcPr>
            <w:tcW w:type="dxa" w:w="1400"/>
            <w:tcMar>
              <w:top w:type="dxa" w:w="60"/>
              <w:left w:type="dxa" w:w="100"/>
              <w:bottom w:type="dxa" w:w="60"/>
              <w:right w:type="dxa" w:w="100"/>
            </w:tcMar>
          </w:tcPr>
          <w:p>
            <w:r>
              <w:rPr>
                <w:b w:val="false"/>
                <w:bCs w:val="false"/>
                <w:i w:val="false"/>
                <w:iCs w:val="false"/>
                <w:sz w:val="19"/>
                <w:szCs w:val="19"/>
              </w:rPr>
              <w:t xml:space="preserve">63 %</w:t>
            </w:r>
          </w:p>
        </w:tc>
        <w:tc>
          <w:tcPr>
            <w:tcW w:type="dxa" w:w="1600"/>
            <w:tcMar>
              <w:top w:type="dxa" w:w="60"/>
              <w:left w:type="dxa" w:w="100"/>
              <w:bottom w:type="dxa" w:w="60"/>
              <w:right w:type="dxa" w:w="100"/>
            </w:tcMar>
          </w:tcPr>
          <w:p>
            <w:r>
              <w:rPr>
                <w:b w:val="false"/>
                <w:bCs w:val="false"/>
                <w:i w:val="false"/>
                <w:iCs w:val="false"/>
                <w:sz w:val="19"/>
                <w:szCs w:val="19"/>
              </w:rPr>
              <w:t xml:space="preserve">12</w:t>
            </w:r>
          </w:p>
        </w:tc>
        <w:tc>
          <w:tcPr>
            <w:tcW w:type="dxa" w:w="1100"/>
            <w:tcMar>
              <w:top w:type="dxa" w:w="60"/>
              <w:left w:type="dxa" w:w="100"/>
              <w:bottom w:type="dxa" w:w="60"/>
              <w:right w:type="dxa" w:w="100"/>
            </w:tcMar>
          </w:tcPr>
          <w:p>
            <w:r>
              <w:rPr>
                <w:b w:val="false"/>
                <w:bCs w:val="false"/>
                <w:i w:val="false"/>
                <w:iCs w:val="false"/>
                <w:sz w:val="19"/>
                <w:szCs w:val="19"/>
              </w:rPr>
              <w:t xml:space="preserve">3</w:t>
            </w:r>
          </w:p>
        </w:tc>
        <w:tc>
          <w:tcPr>
            <w:tcW w:type="dxa" w:w="1526"/>
            <w:tcMar>
              <w:top w:type="dxa" w:w="60"/>
              <w:left w:type="dxa" w:w="100"/>
              <w:bottom w:type="dxa" w:w="60"/>
              <w:right w:type="dxa" w:w="100"/>
            </w:tcMar>
          </w:tcPr>
          <w:p>
            <w:r>
              <w:rPr>
                <w:b w:val="false"/>
                <w:bCs w:val="false"/>
                <w:i w:val="false"/>
                <w:iCs w:val="false"/>
                <w:sz w:val="19"/>
                <w:szCs w:val="19"/>
              </w:rPr>
              <w:t xml:space="preserve">2 (cahier non rempli depuis 5 semaines)</w:t>
            </w:r>
          </w:p>
        </w:tc>
      </w:tr>
      <w:tr>
        <w:trPr>
          <w:tblHeader w:val="off"/>
        </w:trPr>
        <w:tc>
          <w:tcPr>
            <w:tcW w:type="dxa" w:w="800"/>
            <w:tcMar>
              <w:top w:type="dxa" w:w="60"/>
              <w:left w:type="dxa" w:w="100"/>
              <w:bottom w:type="dxa" w:w="60"/>
              <w:right w:type="dxa" w:w="100"/>
            </w:tcMar>
          </w:tcPr>
          <w:p>
            <w:r>
              <w:rPr>
                <w:b w:val="false"/>
                <w:bCs w:val="false"/>
                <w:i w:val="false"/>
                <w:iCs w:val="false"/>
                <w:sz w:val="19"/>
                <w:szCs w:val="19"/>
              </w:rPr>
              <w:t xml:space="preserve">CS09</w:t>
            </w:r>
          </w:p>
        </w:tc>
        <w:tc>
          <w:tcPr>
            <w:tcW w:type="dxa" w:w="800"/>
            <w:tcMar>
              <w:top w:type="dxa" w:w="60"/>
              <w:left w:type="dxa" w:w="100"/>
              <w:bottom w:type="dxa" w:w="60"/>
              <w:right w:type="dxa" w:w="100"/>
            </w:tcMar>
          </w:tcPr>
          <w:p>
            <w:r>
              <w:rPr>
                <w:b w:val="false"/>
                <w:bCs w:val="false"/>
                <w:i w:val="false"/>
                <w:iCs w:val="false"/>
                <w:sz w:val="19"/>
                <w:szCs w:val="19"/>
              </w:rPr>
              <w:t xml:space="preserve">240</w:t>
            </w:r>
          </w:p>
        </w:tc>
        <w:tc>
          <w:tcPr>
            <w:tcW w:type="dxa" w:w="800"/>
            <w:tcMar>
              <w:top w:type="dxa" w:w="60"/>
              <w:left w:type="dxa" w:w="100"/>
              <w:bottom w:type="dxa" w:w="60"/>
              <w:right w:type="dxa" w:w="100"/>
            </w:tcMar>
          </w:tcPr>
          <w:p>
            <w:r>
              <w:rPr>
                <w:b w:val="false"/>
                <w:bCs w:val="false"/>
                <w:i w:val="false"/>
                <w:iCs w:val="false"/>
                <w:sz w:val="19"/>
                <w:szCs w:val="19"/>
              </w:rPr>
              <w:t xml:space="preserve">139</w:t>
            </w:r>
          </w:p>
        </w:tc>
        <w:tc>
          <w:tcPr>
            <w:tcW w:type="dxa" w:w="1000"/>
            <w:tcMar>
              <w:top w:type="dxa" w:w="60"/>
              <w:left w:type="dxa" w:w="100"/>
              <w:bottom w:type="dxa" w:w="60"/>
              <w:right w:type="dxa" w:w="100"/>
            </w:tcMar>
          </w:tcPr>
          <w:p>
            <w:r>
              <w:rPr>
                <w:b w:val="false"/>
                <w:bCs w:val="false"/>
                <w:i w:val="false"/>
                <w:iCs w:val="false"/>
                <w:sz w:val="19"/>
                <w:szCs w:val="19"/>
              </w:rPr>
              <w:t xml:space="preserve">58 %</w:t>
            </w:r>
          </w:p>
        </w:tc>
        <w:tc>
          <w:tcPr>
            <w:tcW w:type="dxa" w:w="1400"/>
            <w:tcMar>
              <w:top w:type="dxa" w:w="60"/>
              <w:left w:type="dxa" w:w="100"/>
              <w:bottom w:type="dxa" w:w="60"/>
              <w:right w:type="dxa" w:w="100"/>
            </w:tcMar>
          </w:tcPr>
          <w:p>
            <w:r>
              <w:rPr>
                <w:b w:val="false"/>
                <w:bCs w:val="false"/>
                <w:i w:val="false"/>
                <w:iCs w:val="false"/>
                <w:sz w:val="19"/>
                <w:szCs w:val="19"/>
              </w:rPr>
              <w:t xml:space="preserve">57 %</w:t>
            </w:r>
          </w:p>
        </w:tc>
        <w:tc>
          <w:tcPr>
            <w:tcW w:type="dxa" w:w="1600"/>
            <w:tcMar>
              <w:top w:type="dxa" w:w="60"/>
              <w:left w:type="dxa" w:w="100"/>
              <w:bottom w:type="dxa" w:w="60"/>
              <w:right w:type="dxa" w:w="100"/>
            </w:tcMar>
          </w:tcPr>
          <w:p>
            <w:r>
              <w:rPr>
                <w:b w:val="false"/>
                <w:bCs w:val="false"/>
                <w:i w:val="false"/>
                <w:iCs w:val="false"/>
                <w:sz w:val="19"/>
                <w:szCs w:val="19"/>
              </w:rPr>
              <w:t xml:space="preserve">2</w:t>
            </w:r>
          </w:p>
        </w:tc>
        <w:tc>
          <w:tcPr>
            <w:tcW w:type="dxa" w:w="1100"/>
            <w:tcMar>
              <w:top w:type="dxa" w:w="60"/>
              <w:left w:type="dxa" w:w="100"/>
              <w:bottom w:type="dxa" w:w="60"/>
              <w:right w:type="dxa" w:w="100"/>
            </w:tcMar>
          </w:tcPr>
          <w:p>
            <w:r>
              <w:rPr>
                <w:b w:val="false"/>
                <w:bCs w:val="false"/>
                <w:i w:val="false"/>
                <w:iCs w:val="false"/>
                <w:sz w:val="19"/>
                <w:szCs w:val="19"/>
              </w:rPr>
              <w:t xml:space="preserve">2</w:t>
            </w:r>
          </w:p>
        </w:tc>
        <w:tc>
          <w:tcPr>
            <w:tcW w:type="dxa" w:w="1526"/>
            <w:tcMar>
              <w:top w:type="dxa" w:w="60"/>
              <w:left w:type="dxa" w:w="100"/>
              <w:bottom w:type="dxa" w:w="60"/>
              <w:right w:type="dxa" w:w="100"/>
            </w:tcMar>
          </w:tcPr>
          <w:p>
            <w:r>
              <w:rPr>
                <w:b w:val="false"/>
                <w:bCs w:val="false"/>
                <w:i w:val="false"/>
                <w:iCs w:val="false"/>
                <w:sz w:val="19"/>
                <w:szCs w:val="19"/>
              </w:rPr>
              <w:t xml:space="preserve">irrégulières</w:t>
            </w:r>
          </w:p>
        </w:tc>
      </w:tr>
      <w:tr>
        <w:trPr>
          <w:tblHeader w:val="off"/>
        </w:trPr>
        <w:tc>
          <w:tcPr>
            <w:tcW w:type="dxa" w:w="800"/>
            <w:tcMar>
              <w:top w:type="dxa" w:w="60"/>
              <w:left w:type="dxa" w:w="100"/>
              <w:bottom w:type="dxa" w:w="60"/>
              <w:right w:type="dxa" w:w="100"/>
            </w:tcMar>
          </w:tcPr>
          <w:p>
            <w:r>
              <w:rPr>
                <w:b w:val="false"/>
                <w:bCs w:val="false"/>
                <w:i w:val="false"/>
                <w:iCs w:val="false"/>
                <w:sz w:val="19"/>
                <w:szCs w:val="19"/>
              </w:rPr>
              <w:t xml:space="preserve">CS10</w:t>
            </w:r>
          </w:p>
        </w:tc>
        <w:tc>
          <w:tcPr>
            <w:tcW w:type="dxa" w:w="800"/>
            <w:tcMar>
              <w:top w:type="dxa" w:w="60"/>
              <w:left w:type="dxa" w:w="100"/>
              <w:bottom w:type="dxa" w:w="60"/>
              <w:right w:type="dxa" w:w="100"/>
            </w:tcMar>
          </w:tcPr>
          <w:p>
            <w:r>
              <w:rPr>
                <w:b w:val="false"/>
                <w:bCs w:val="false"/>
                <w:i w:val="false"/>
                <w:iCs w:val="false"/>
                <w:sz w:val="19"/>
                <w:szCs w:val="19"/>
              </w:rPr>
              <w:t xml:space="preserve">720</w:t>
            </w:r>
          </w:p>
        </w:tc>
        <w:tc>
          <w:tcPr>
            <w:tcW w:type="dxa" w:w="800"/>
            <w:tcMar>
              <w:top w:type="dxa" w:w="60"/>
              <w:left w:type="dxa" w:w="100"/>
              <w:bottom w:type="dxa" w:w="60"/>
              <w:right w:type="dxa" w:w="100"/>
            </w:tcMar>
          </w:tcPr>
          <w:p>
            <w:r>
              <w:rPr>
                <w:b w:val="false"/>
                <w:bCs w:val="false"/>
                <w:i w:val="false"/>
                <w:iCs w:val="false"/>
                <w:sz w:val="19"/>
                <w:szCs w:val="19"/>
              </w:rPr>
              <w:t xml:space="preserve">331</w:t>
            </w:r>
          </w:p>
        </w:tc>
        <w:tc>
          <w:tcPr>
            <w:tcW w:type="dxa" w:w="1000"/>
            <w:tcMar>
              <w:top w:type="dxa" w:w="60"/>
              <w:left w:type="dxa" w:w="100"/>
              <w:bottom w:type="dxa" w:w="60"/>
              <w:right w:type="dxa" w:w="100"/>
            </w:tcMar>
          </w:tcPr>
          <w:p>
            <w:r>
              <w:rPr>
                <w:b w:val="false"/>
                <w:bCs w:val="false"/>
                <w:i w:val="false"/>
                <w:iCs w:val="false"/>
                <w:sz w:val="19"/>
                <w:szCs w:val="19"/>
              </w:rPr>
              <w:t xml:space="preserve">46 %</w:t>
            </w:r>
          </w:p>
        </w:tc>
        <w:tc>
          <w:tcPr>
            <w:tcW w:type="dxa" w:w="1400"/>
            <w:tcMar>
              <w:top w:type="dxa" w:w="60"/>
              <w:left w:type="dxa" w:w="100"/>
              <w:bottom w:type="dxa" w:w="60"/>
              <w:right w:type="dxa" w:w="100"/>
            </w:tcMar>
          </w:tcPr>
          <w:p>
            <w:r>
              <w:rPr>
                <w:b w:val="false"/>
                <w:bCs w:val="false"/>
                <w:i w:val="false"/>
                <w:iCs w:val="false"/>
                <w:sz w:val="19"/>
                <w:szCs w:val="19"/>
              </w:rPr>
              <w:t xml:space="preserve">52 %</w:t>
            </w:r>
          </w:p>
        </w:tc>
        <w:tc>
          <w:tcPr>
            <w:tcW w:type="dxa" w:w="1600"/>
            <w:tcMar>
              <w:top w:type="dxa" w:w="60"/>
              <w:left w:type="dxa" w:w="100"/>
              <w:bottom w:type="dxa" w:w="60"/>
              <w:right w:type="dxa" w:w="100"/>
            </w:tcMar>
          </w:tcPr>
          <w:p>
            <w:r>
              <w:rPr>
                <w:b w:val="false"/>
                <w:bCs w:val="false"/>
                <w:i w:val="false"/>
                <w:iCs w:val="false"/>
                <w:sz w:val="19"/>
                <w:szCs w:val="19"/>
              </w:rPr>
              <w:t xml:space="preserve">11</w:t>
            </w:r>
          </w:p>
        </w:tc>
        <w:tc>
          <w:tcPr>
            <w:tcW w:type="dxa" w:w="1100"/>
            <w:tcMar>
              <w:top w:type="dxa" w:w="60"/>
              <w:left w:type="dxa" w:w="100"/>
              <w:bottom w:type="dxa" w:w="60"/>
              <w:right w:type="dxa" w:w="100"/>
            </w:tcMar>
          </w:tcPr>
          <w:p>
            <w:r>
              <w:rPr>
                <w:b w:val="false"/>
                <w:bCs w:val="false"/>
                <w:i w:val="false"/>
                <w:iCs w:val="false"/>
                <w:sz w:val="19"/>
                <w:szCs w:val="19"/>
              </w:rPr>
              <w:t xml:space="preserve">3</w:t>
            </w:r>
          </w:p>
        </w:tc>
        <w:tc>
          <w:tcPr>
            <w:tcW w:type="dxa" w:w="1526"/>
            <w:tcMar>
              <w:top w:type="dxa" w:w="60"/>
              <w:left w:type="dxa" w:w="100"/>
              <w:bottom w:type="dxa" w:w="60"/>
              <w:right w:type="dxa" w:w="100"/>
            </w:tcMar>
          </w:tcPr>
          <w:p>
            <w:r>
              <w:rPr>
                <w:b w:val="false"/>
                <w:bCs w:val="false"/>
                <w:i w:val="false"/>
                <w:iCs w:val="false"/>
                <w:sz w:val="19"/>
                <w:szCs w:val="19"/>
              </w:rPr>
              <w:t xml:space="preserve">2</w:t>
            </w:r>
          </w:p>
        </w:tc>
      </w:tr>
      <w:tr>
        <w:trPr>
          <w:tblHeader w:val="off"/>
        </w:trPr>
        <w:tc>
          <w:tcPr>
            <w:tcW w:type="dxa" w:w="800"/>
            <w:tcMar>
              <w:top w:type="dxa" w:w="60"/>
              <w:left w:type="dxa" w:w="100"/>
              <w:bottom w:type="dxa" w:w="60"/>
              <w:right w:type="dxa" w:w="100"/>
            </w:tcMar>
          </w:tcPr>
          <w:p>
            <w:r>
              <w:rPr>
                <w:b w:val="false"/>
                <w:bCs w:val="false"/>
                <w:i w:val="false"/>
                <w:iCs w:val="false"/>
                <w:sz w:val="19"/>
                <w:szCs w:val="19"/>
              </w:rPr>
              <w:t xml:space="preserve">CS11</w:t>
            </w:r>
          </w:p>
        </w:tc>
        <w:tc>
          <w:tcPr>
            <w:tcW w:type="dxa" w:w="800"/>
            <w:tcMar>
              <w:top w:type="dxa" w:w="60"/>
              <w:left w:type="dxa" w:w="100"/>
              <w:bottom w:type="dxa" w:w="60"/>
              <w:right w:type="dxa" w:w="100"/>
            </w:tcMar>
          </w:tcPr>
          <w:p>
            <w:r>
              <w:rPr>
                <w:b w:val="false"/>
                <w:bCs w:val="false"/>
                <w:i w:val="false"/>
                <w:iCs w:val="false"/>
                <w:sz w:val="19"/>
                <w:szCs w:val="19"/>
              </w:rPr>
              <w:t xml:space="preserve">650</w:t>
            </w:r>
          </w:p>
        </w:tc>
        <w:tc>
          <w:tcPr>
            <w:tcW w:type="dxa" w:w="800"/>
            <w:tcMar>
              <w:top w:type="dxa" w:w="60"/>
              <w:left w:type="dxa" w:w="100"/>
              <w:bottom w:type="dxa" w:w="60"/>
              <w:right w:type="dxa" w:w="100"/>
            </w:tcMar>
          </w:tcPr>
          <w:p>
            <w:r>
              <w:rPr>
                <w:b w:val="false"/>
                <w:bCs w:val="false"/>
                <w:i w:val="false"/>
                <w:iCs w:val="false"/>
                <w:sz w:val="19"/>
                <w:szCs w:val="19"/>
              </w:rPr>
              <w:t xml:space="preserve">429</w:t>
            </w:r>
          </w:p>
        </w:tc>
        <w:tc>
          <w:tcPr>
            <w:tcW w:type="dxa" w:w="1000"/>
            <w:tcMar>
              <w:top w:type="dxa" w:w="60"/>
              <w:left w:type="dxa" w:w="100"/>
              <w:bottom w:type="dxa" w:w="60"/>
              <w:right w:type="dxa" w:w="100"/>
            </w:tcMar>
          </w:tcPr>
          <w:p>
            <w:r>
              <w:rPr>
                <w:b w:val="false"/>
                <w:bCs w:val="false"/>
                <w:i w:val="false"/>
                <w:iCs w:val="false"/>
                <w:sz w:val="19"/>
                <w:szCs w:val="19"/>
              </w:rPr>
              <w:t xml:space="preserve">66 %</w:t>
            </w:r>
          </w:p>
        </w:tc>
        <w:tc>
          <w:tcPr>
            <w:tcW w:type="dxa" w:w="1400"/>
            <w:tcMar>
              <w:top w:type="dxa" w:w="60"/>
              <w:left w:type="dxa" w:w="100"/>
              <w:bottom w:type="dxa" w:w="60"/>
              <w:right w:type="dxa" w:w="100"/>
            </w:tcMar>
          </w:tcPr>
          <w:p>
            <w:r>
              <w:rPr>
                <w:b w:val="false"/>
                <w:bCs w:val="false"/>
                <w:i w:val="false"/>
                <w:iCs w:val="false"/>
                <w:sz w:val="19"/>
                <w:szCs w:val="19"/>
              </w:rPr>
              <w:t xml:space="preserve">55 %</w:t>
            </w:r>
          </w:p>
        </w:tc>
        <w:tc>
          <w:tcPr>
            <w:tcW w:type="dxa" w:w="1600"/>
            <w:tcMar>
              <w:top w:type="dxa" w:w="60"/>
              <w:left w:type="dxa" w:w="100"/>
              <w:bottom w:type="dxa" w:w="60"/>
              <w:right w:type="dxa" w:w="100"/>
            </w:tcMar>
          </w:tcPr>
          <w:p>
            <w:r>
              <w:rPr>
                <w:b w:val="false"/>
                <w:bCs w:val="false"/>
                <w:i w:val="false"/>
                <w:iCs w:val="false"/>
                <w:sz w:val="19"/>
                <w:szCs w:val="19"/>
              </w:rPr>
              <w:t xml:space="preserve">4</w:t>
            </w:r>
          </w:p>
        </w:tc>
        <w:tc>
          <w:tcPr>
            <w:tcW w:type="dxa" w:w="1100"/>
            <w:tcMar>
              <w:top w:type="dxa" w:w="60"/>
              <w:left w:type="dxa" w:w="100"/>
              <w:bottom w:type="dxa" w:w="60"/>
              <w:right w:type="dxa" w:w="100"/>
            </w:tcMar>
          </w:tcPr>
          <w:p>
            <w:r>
              <w:rPr>
                <w:b w:val="false"/>
                <w:bCs w:val="false"/>
                <w:i w:val="false"/>
                <w:iCs w:val="false"/>
                <w:sz w:val="19"/>
                <w:szCs w:val="19"/>
              </w:rPr>
              <w:t xml:space="preserve">3</w:t>
            </w:r>
          </w:p>
        </w:tc>
        <w:tc>
          <w:tcPr>
            <w:tcW w:type="dxa" w:w="1526"/>
            <w:tcMar>
              <w:top w:type="dxa" w:w="60"/>
              <w:left w:type="dxa" w:w="100"/>
              <w:bottom w:type="dxa" w:w="60"/>
              <w:right w:type="dxa" w:w="100"/>
            </w:tcMar>
          </w:tcPr>
          <w:p>
            <w:r>
              <w:rPr>
                <w:b w:val="false"/>
                <w:bCs w:val="false"/>
                <w:i w:val="false"/>
                <w:iCs w:val="false"/>
                <w:sz w:val="19"/>
                <w:szCs w:val="19"/>
              </w:rPr>
              <w:t xml:space="preserve">2</w:t>
            </w:r>
          </w:p>
        </w:tc>
      </w:tr>
      <w:tr>
        <w:trPr>
          <w:tblHeader w:val="off"/>
        </w:trPr>
        <w:tc>
          <w:tcPr>
            <w:tcW w:type="dxa" w:w="800"/>
            <w:tcMar>
              <w:top w:type="dxa" w:w="60"/>
              <w:left w:type="dxa" w:w="100"/>
              <w:bottom w:type="dxa" w:w="60"/>
              <w:right w:type="dxa" w:w="100"/>
            </w:tcMar>
          </w:tcPr>
          <w:p>
            <w:r>
              <w:rPr>
                <w:b w:val="false"/>
                <w:bCs w:val="false"/>
                <w:i w:val="false"/>
                <w:iCs w:val="false"/>
                <w:sz w:val="19"/>
                <w:szCs w:val="19"/>
              </w:rPr>
              <w:t xml:space="preserve">CS12</w:t>
            </w:r>
          </w:p>
        </w:tc>
        <w:tc>
          <w:tcPr>
            <w:tcW w:type="dxa" w:w="800"/>
            <w:tcMar>
              <w:top w:type="dxa" w:w="60"/>
              <w:left w:type="dxa" w:w="100"/>
              <w:bottom w:type="dxa" w:w="60"/>
              <w:right w:type="dxa" w:w="100"/>
            </w:tcMar>
          </w:tcPr>
          <w:p>
            <w:r>
              <w:rPr>
                <w:b w:val="false"/>
                <w:bCs w:val="false"/>
                <w:i w:val="false"/>
                <w:iCs w:val="false"/>
                <w:sz w:val="19"/>
                <w:szCs w:val="19"/>
              </w:rPr>
              <w:t xml:space="preserve">540</w:t>
            </w:r>
          </w:p>
        </w:tc>
        <w:tc>
          <w:tcPr>
            <w:tcW w:type="dxa" w:w="800"/>
            <w:tcMar>
              <w:top w:type="dxa" w:w="60"/>
              <w:left w:type="dxa" w:w="100"/>
              <w:bottom w:type="dxa" w:w="60"/>
              <w:right w:type="dxa" w:w="100"/>
            </w:tcMar>
          </w:tcPr>
          <w:p>
            <w:r>
              <w:rPr>
                <w:b w:val="false"/>
                <w:bCs w:val="false"/>
                <w:i w:val="false"/>
                <w:iCs w:val="false"/>
                <w:sz w:val="19"/>
                <w:szCs w:val="19"/>
              </w:rPr>
              <w:t xml:space="preserve">394</w:t>
            </w:r>
          </w:p>
        </w:tc>
        <w:tc>
          <w:tcPr>
            <w:tcW w:type="dxa" w:w="1000"/>
            <w:tcMar>
              <w:top w:type="dxa" w:w="60"/>
              <w:left w:type="dxa" w:w="100"/>
              <w:bottom w:type="dxa" w:w="60"/>
              <w:right w:type="dxa" w:w="100"/>
            </w:tcMar>
          </w:tcPr>
          <w:p>
            <w:r>
              <w:rPr>
                <w:b w:val="false"/>
                <w:bCs w:val="false"/>
                <w:i w:val="false"/>
                <w:iCs w:val="false"/>
                <w:sz w:val="19"/>
                <w:szCs w:val="19"/>
              </w:rPr>
              <w:t xml:space="preserve">73 %</w:t>
            </w:r>
          </w:p>
        </w:tc>
        <w:tc>
          <w:tcPr>
            <w:tcW w:type="dxa" w:w="1400"/>
            <w:tcMar>
              <w:top w:type="dxa" w:w="60"/>
              <w:left w:type="dxa" w:w="100"/>
              <w:bottom w:type="dxa" w:w="60"/>
              <w:right w:type="dxa" w:w="100"/>
            </w:tcMar>
          </w:tcPr>
          <w:p>
            <w:r>
              <w:rPr>
                <w:b w:val="false"/>
                <w:bCs w:val="false"/>
                <w:i w:val="false"/>
                <w:iCs w:val="false"/>
                <w:sz w:val="19"/>
                <w:szCs w:val="19"/>
              </w:rPr>
              <w:t xml:space="preserve">65 %</w:t>
            </w:r>
          </w:p>
        </w:tc>
        <w:tc>
          <w:tcPr>
            <w:tcW w:type="dxa" w:w="1600"/>
            <w:tcMar>
              <w:top w:type="dxa" w:w="60"/>
              <w:left w:type="dxa" w:w="100"/>
              <w:bottom w:type="dxa" w:w="60"/>
              <w:right w:type="dxa" w:w="100"/>
            </w:tcMar>
          </w:tcPr>
          <w:p>
            <w:r>
              <w:rPr>
                <w:b w:val="false"/>
                <w:bCs w:val="false"/>
                <w:i w:val="false"/>
                <w:iCs w:val="false"/>
                <w:sz w:val="19"/>
                <w:szCs w:val="19"/>
              </w:rPr>
              <w:t xml:space="preserve">10</w:t>
            </w:r>
          </w:p>
        </w:tc>
        <w:tc>
          <w:tcPr>
            <w:tcW w:type="dxa" w:w="1100"/>
            <w:tcMar>
              <w:top w:type="dxa" w:w="60"/>
              <w:left w:type="dxa" w:w="100"/>
              <w:bottom w:type="dxa" w:w="60"/>
              <w:right w:type="dxa" w:w="100"/>
            </w:tcMar>
          </w:tcPr>
          <w:p>
            <w:r>
              <w:rPr>
                <w:b w:val="false"/>
                <w:bCs w:val="false"/>
                <w:i w:val="false"/>
                <w:iCs w:val="false"/>
                <w:sz w:val="19"/>
                <w:szCs w:val="19"/>
              </w:rPr>
              <w:t xml:space="preserve">3</w:t>
            </w:r>
          </w:p>
        </w:tc>
        <w:tc>
          <w:tcPr>
            <w:tcW w:type="dxa" w:w="1526"/>
            <w:tcMar>
              <w:top w:type="dxa" w:w="60"/>
              <w:left w:type="dxa" w:w="100"/>
              <w:bottom w:type="dxa" w:w="60"/>
              <w:right w:type="dxa" w:w="100"/>
            </w:tcMar>
          </w:tcPr>
          <w:p>
            <w:r>
              <w:rPr>
                <w:b w:val="false"/>
                <w:bCs w:val="false"/>
                <w:i w:val="false"/>
                <w:iCs w:val="false"/>
                <w:sz w:val="19"/>
                <w:szCs w:val="19"/>
              </w:rPr>
              <w:t xml:space="preserve">2</w:t>
            </w:r>
          </w:p>
        </w:tc>
      </w:tr>
      <w:tr>
        <w:trPr>
          <w:tblHeader w:val="off"/>
        </w:trPr>
        <w:tc>
          <w:tcPr>
            <w:tcW w:type="dxa" w:w="800"/>
            <w:tcMar>
              <w:top w:type="dxa" w:w="60"/>
              <w:left w:type="dxa" w:w="100"/>
              <w:bottom w:type="dxa" w:w="60"/>
              <w:right w:type="dxa" w:w="100"/>
            </w:tcMar>
          </w:tcPr>
          <w:p>
            <w:r>
              <w:rPr>
                <w:b w:val="false"/>
                <w:bCs w:val="false"/>
                <w:i w:val="false"/>
                <w:iCs w:val="false"/>
                <w:sz w:val="19"/>
                <w:szCs w:val="19"/>
              </w:rPr>
              <w:t xml:space="preserve">CS13</w:t>
            </w:r>
          </w:p>
        </w:tc>
        <w:tc>
          <w:tcPr>
            <w:tcW w:type="dxa" w:w="800"/>
            <w:tcMar>
              <w:top w:type="dxa" w:w="60"/>
              <w:left w:type="dxa" w:w="100"/>
              <w:bottom w:type="dxa" w:w="60"/>
              <w:right w:type="dxa" w:w="100"/>
            </w:tcMar>
          </w:tcPr>
          <w:p>
            <w:r>
              <w:rPr>
                <w:b w:val="false"/>
                <w:bCs w:val="false"/>
                <w:i w:val="false"/>
                <w:iCs w:val="false"/>
                <w:sz w:val="19"/>
                <w:szCs w:val="19"/>
              </w:rPr>
              <w:t xml:space="preserve">870</w:t>
            </w:r>
          </w:p>
        </w:tc>
        <w:tc>
          <w:tcPr>
            <w:tcW w:type="dxa" w:w="800"/>
            <w:tcMar>
              <w:top w:type="dxa" w:w="60"/>
              <w:left w:type="dxa" w:w="100"/>
              <w:bottom w:type="dxa" w:w="60"/>
              <w:right w:type="dxa" w:w="100"/>
            </w:tcMar>
          </w:tcPr>
          <w:p>
            <w:r>
              <w:rPr>
                <w:b w:val="false"/>
                <w:bCs w:val="false"/>
                <w:i w:val="false"/>
                <w:iCs w:val="false"/>
                <w:sz w:val="19"/>
                <w:szCs w:val="19"/>
              </w:rPr>
              <w:t xml:space="preserve">809</w:t>
            </w:r>
          </w:p>
        </w:tc>
        <w:tc>
          <w:tcPr>
            <w:tcW w:type="dxa" w:w="1000"/>
            <w:tcMar>
              <w:top w:type="dxa" w:w="60"/>
              <w:left w:type="dxa" w:w="100"/>
              <w:bottom w:type="dxa" w:w="60"/>
              <w:right w:type="dxa" w:w="100"/>
            </w:tcMar>
          </w:tcPr>
          <w:p>
            <w:r>
              <w:rPr>
                <w:b w:val="false"/>
                <w:bCs w:val="false"/>
                <w:i w:val="false"/>
                <w:iCs w:val="false"/>
                <w:sz w:val="19"/>
                <w:szCs w:val="19"/>
              </w:rPr>
              <w:t xml:space="preserve">93 %</w:t>
            </w:r>
          </w:p>
        </w:tc>
        <w:tc>
          <w:tcPr>
            <w:tcW w:type="dxa" w:w="1400"/>
            <w:tcMar>
              <w:top w:type="dxa" w:w="60"/>
              <w:left w:type="dxa" w:w="100"/>
              <w:bottom w:type="dxa" w:w="60"/>
              <w:right w:type="dxa" w:w="100"/>
            </w:tcMar>
          </w:tcPr>
          <w:p>
            <w:r>
              <w:rPr>
                <w:b w:val="false"/>
                <w:bCs w:val="false"/>
                <w:i w:val="false"/>
                <w:iCs w:val="false"/>
                <w:sz w:val="19"/>
                <w:szCs w:val="19"/>
              </w:rPr>
              <w:t xml:space="preserve">64 %</w:t>
            </w:r>
          </w:p>
        </w:tc>
        <w:tc>
          <w:tcPr>
            <w:tcW w:type="dxa" w:w="1600"/>
            <w:tcMar>
              <w:top w:type="dxa" w:w="60"/>
              <w:left w:type="dxa" w:w="100"/>
              <w:bottom w:type="dxa" w:w="60"/>
              <w:right w:type="dxa" w:w="100"/>
            </w:tcMar>
          </w:tcPr>
          <w:p>
            <w:r>
              <w:rPr>
                <w:b w:val="false"/>
                <w:bCs w:val="false"/>
                <w:i w:val="false"/>
                <w:iCs w:val="false"/>
                <w:sz w:val="19"/>
                <w:szCs w:val="19"/>
              </w:rPr>
              <w:t xml:space="preserve">13</w:t>
            </w:r>
          </w:p>
        </w:tc>
        <w:tc>
          <w:tcPr>
            <w:tcW w:type="dxa" w:w="1100"/>
            <w:tcMar>
              <w:top w:type="dxa" w:w="60"/>
              <w:left w:type="dxa" w:w="100"/>
              <w:bottom w:type="dxa" w:w="60"/>
              <w:right w:type="dxa" w:w="100"/>
            </w:tcMar>
          </w:tcPr>
          <w:p>
            <w:r>
              <w:rPr>
                <w:b w:val="false"/>
                <w:bCs w:val="false"/>
                <w:i w:val="false"/>
                <w:iCs w:val="false"/>
                <w:sz w:val="19"/>
                <w:szCs w:val="19"/>
              </w:rPr>
              <w:t xml:space="preserve">4</w:t>
            </w:r>
          </w:p>
        </w:tc>
        <w:tc>
          <w:tcPr>
            <w:tcW w:type="dxa" w:w="1526"/>
            <w:tcMar>
              <w:top w:type="dxa" w:w="60"/>
              <w:left w:type="dxa" w:w="100"/>
              <w:bottom w:type="dxa" w:w="60"/>
              <w:right w:type="dxa" w:w="100"/>
            </w:tcMar>
          </w:tcPr>
          <w:p>
            <w:r>
              <w:rPr>
                <w:b w:val="false"/>
                <w:bCs w:val="false"/>
                <w:i w:val="false"/>
                <w:iCs w:val="false"/>
                <w:sz w:val="19"/>
                <w:szCs w:val="19"/>
              </w:rPr>
              <w:t xml:space="preserve">3</w:t>
            </w:r>
          </w:p>
        </w:tc>
      </w:tr>
      <w:tr>
        <w:trPr>
          <w:tblHeader w:val="off"/>
        </w:trPr>
        <w:tc>
          <w:tcPr>
            <w:tcW w:type="dxa" w:w="800"/>
            <w:tcMar>
              <w:top w:type="dxa" w:w="60"/>
              <w:left w:type="dxa" w:w="100"/>
              <w:bottom w:type="dxa" w:w="60"/>
              <w:right w:type="dxa" w:w="100"/>
            </w:tcMar>
          </w:tcPr>
          <w:p>
            <w:r>
              <w:rPr>
                <w:b w:val="false"/>
                <w:bCs w:val="false"/>
                <w:i w:val="false"/>
                <w:iCs w:val="false"/>
                <w:sz w:val="19"/>
                <w:szCs w:val="19"/>
              </w:rPr>
              <w:t xml:space="preserve">CS14</w:t>
            </w:r>
          </w:p>
        </w:tc>
        <w:tc>
          <w:tcPr>
            <w:tcW w:type="dxa" w:w="800"/>
            <w:tcMar>
              <w:top w:type="dxa" w:w="60"/>
              <w:left w:type="dxa" w:w="100"/>
              <w:bottom w:type="dxa" w:w="60"/>
              <w:right w:type="dxa" w:w="100"/>
            </w:tcMar>
          </w:tcPr>
          <w:p>
            <w:r>
              <w:rPr>
                <w:b w:val="false"/>
                <w:bCs w:val="false"/>
                <w:i w:val="false"/>
                <w:iCs w:val="false"/>
                <w:sz w:val="19"/>
                <w:szCs w:val="19"/>
              </w:rPr>
              <w:t xml:space="preserve">520</w:t>
            </w:r>
          </w:p>
        </w:tc>
        <w:tc>
          <w:tcPr>
            <w:tcW w:type="dxa" w:w="800"/>
            <w:tcMar>
              <w:top w:type="dxa" w:w="60"/>
              <w:left w:type="dxa" w:w="100"/>
              <w:bottom w:type="dxa" w:w="60"/>
              <w:right w:type="dxa" w:w="100"/>
            </w:tcMar>
          </w:tcPr>
          <w:p>
            <w:r>
              <w:rPr>
                <w:b w:val="false"/>
                <w:bCs w:val="false"/>
                <w:i w:val="false"/>
                <w:iCs w:val="false"/>
                <w:sz w:val="19"/>
                <w:szCs w:val="19"/>
              </w:rPr>
              <w:t xml:space="preserve">369</w:t>
            </w:r>
          </w:p>
        </w:tc>
        <w:tc>
          <w:tcPr>
            <w:tcW w:type="dxa" w:w="1000"/>
            <w:tcMar>
              <w:top w:type="dxa" w:w="60"/>
              <w:left w:type="dxa" w:w="100"/>
              <w:bottom w:type="dxa" w:w="60"/>
              <w:right w:type="dxa" w:w="100"/>
            </w:tcMar>
          </w:tcPr>
          <w:p>
            <w:r>
              <w:rPr>
                <w:b w:val="false"/>
                <w:bCs w:val="false"/>
                <w:i w:val="false"/>
                <w:iCs w:val="false"/>
                <w:sz w:val="19"/>
                <w:szCs w:val="19"/>
              </w:rPr>
              <w:t xml:space="preserve">71 %</w:t>
            </w:r>
          </w:p>
        </w:tc>
        <w:tc>
          <w:tcPr>
            <w:tcW w:type="dxa" w:w="1400"/>
            <w:tcMar>
              <w:top w:type="dxa" w:w="60"/>
              <w:left w:type="dxa" w:w="100"/>
              <w:bottom w:type="dxa" w:w="60"/>
              <w:right w:type="dxa" w:w="100"/>
            </w:tcMar>
          </w:tcPr>
          <w:p>
            <w:r>
              <w:rPr>
                <w:b w:val="false"/>
                <w:bCs w:val="false"/>
                <w:i w:val="false"/>
                <w:iCs w:val="false"/>
                <w:sz w:val="19"/>
                <w:szCs w:val="19"/>
              </w:rPr>
              <w:t xml:space="preserve">61 %</w:t>
            </w:r>
          </w:p>
        </w:tc>
        <w:tc>
          <w:tcPr>
            <w:tcW w:type="dxa" w:w="1600"/>
            <w:tcMar>
              <w:top w:type="dxa" w:w="60"/>
              <w:left w:type="dxa" w:w="100"/>
              <w:bottom w:type="dxa" w:w="60"/>
              <w:right w:type="dxa" w:w="100"/>
            </w:tcMar>
          </w:tcPr>
          <w:p>
            <w:r>
              <w:rPr>
                <w:b w:val="false"/>
                <w:bCs w:val="false"/>
                <w:i w:val="false"/>
                <w:iCs w:val="false"/>
                <w:sz w:val="19"/>
                <w:szCs w:val="19"/>
              </w:rPr>
              <w:t xml:space="preserve">8</w:t>
            </w:r>
          </w:p>
        </w:tc>
        <w:tc>
          <w:tcPr>
            <w:tcW w:type="dxa" w:w="1100"/>
            <w:tcMar>
              <w:top w:type="dxa" w:w="60"/>
              <w:left w:type="dxa" w:w="100"/>
              <w:bottom w:type="dxa" w:w="60"/>
              <w:right w:type="dxa" w:w="100"/>
            </w:tcMar>
          </w:tcPr>
          <w:p>
            <w:r>
              <w:rPr>
                <w:b w:val="false"/>
                <w:bCs w:val="false"/>
                <w:i w:val="false"/>
                <w:iCs w:val="false"/>
                <w:sz w:val="19"/>
                <w:szCs w:val="19"/>
              </w:rPr>
              <w:t xml:space="preserve">3</w:t>
            </w:r>
          </w:p>
        </w:tc>
        <w:tc>
          <w:tcPr>
            <w:tcW w:type="dxa" w:w="1526"/>
            <w:tcMar>
              <w:top w:type="dxa" w:w="60"/>
              <w:left w:type="dxa" w:w="100"/>
              <w:bottom w:type="dxa" w:w="60"/>
              <w:right w:type="dxa" w:w="100"/>
            </w:tcMar>
          </w:tcPr>
          <w:p>
            <w:r>
              <w:rPr>
                <w:b w:val="false"/>
                <w:bCs w:val="false"/>
                <w:i w:val="false"/>
                <w:iCs w:val="false"/>
                <w:sz w:val="19"/>
                <w:szCs w:val="19"/>
              </w:rPr>
              <w:t xml:space="preserve">2</w:t>
            </w:r>
          </w:p>
        </w:tc>
      </w:tr>
      <w:tr>
        <w:trPr>
          <w:tblHeader w:val="off"/>
        </w:trPr>
        <w:tc>
          <w:tcPr>
            <w:tcW w:type="dxa" w:w="800"/>
            <w:tcMar>
              <w:top w:type="dxa" w:w="60"/>
              <w:left w:type="dxa" w:w="100"/>
              <w:bottom w:type="dxa" w:w="60"/>
              <w:right w:type="dxa" w:w="100"/>
            </w:tcMar>
          </w:tcPr>
          <w:p>
            <w:r>
              <w:rPr>
                <w:b w:val="false"/>
                <w:bCs w:val="false"/>
                <w:i w:val="false"/>
                <w:iCs w:val="false"/>
                <w:sz w:val="19"/>
                <w:szCs w:val="19"/>
              </w:rPr>
              <w:t xml:space="preserve">CS15</w:t>
            </w:r>
          </w:p>
        </w:tc>
        <w:tc>
          <w:tcPr>
            <w:tcW w:type="dxa" w:w="800"/>
            <w:tcMar>
              <w:top w:type="dxa" w:w="60"/>
              <w:left w:type="dxa" w:w="100"/>
              <w:bottom w:type="dxa" w:w="60"/>
              <w:right w:type="dxa" w:w="100"/>
            </w:tcMar>
          </w:tcPr>
          <w:p>
            <w:r>
              <w:rPr>
                <w:b w:val="false"/>
                <w:bCs w:val="false"/>
                <w:i w:val="false"/>
                <w:iCs w:val="false"/>
                <w:sz w:val="19"/>
                <w:szCs w:val="19"/>
              </w:rPr>
              <w:t xml:space="preserve">500</w:t>
            </w:r>
          </w:p>
        </w:tc>
        <w:tc>
          <w:tcPr>
            <w:tcW w:type="dxa" w:w="800"/>
            <w:tcMar>
              <w:top w:type="dxa" w:w="60"/>
              <w:left w:type="dxa" w:w="100"/>
              <w:bottom w:type="dxa" w:w="60"/>
              <w:right w:type="dxa" w:w="100"/>
            </w:tcMar>
          </w:tcPr>
          <w:p>
            <w:r>
              <w:rPr>
                <w:b w:val="false"/>
                <w:bCs w:val="false"/>
                <w:i w:val="false"/>
                <w:iCs w:val="false"/>
                <w:sz w:val="19"/>
                <w:szCs w:val="19"/>
              </w:rPr>
              <w:t xml:space="preserve">335</w:t>
            </w:r>
          </w:p>
        </w:tc>
        <w:tc>
          <w:tcPr>
            <w:tcW w:type="dxa" w:w="1000"/>
            <w:tcMar>
              <w:top w:type="dxa" w:w="60"/>
              <w:left w:type="dxa" w:w="100"/>
              <w:bottom w:type="dxa" w:w="60"/>
              <w:right w:type="dxa" w:w="100"/>
            </w:tcMar>
          </w:tcPr>
          <w:p>
            <w:r>
              <w:rPr>
                <w:b w:val="false"/>
                <w:bCs w:val="false"/>
                <w:i w:val="false"/>
                <w:iCs w:val="false"/>
                <w:sz w:val="19"/>
                <w:szCs w:val="19"/>
              </w:rPr>
              <w:t xml:space="preserve">67 %</w:t>
            </w:r>
          </w:p>
        </w:tc>
        <w:tc>
          <w:tcPr>
            <w:tcW w:type="dxa" w:w="1400"/>
            <w:tcMar>
              <w:top w:type="dxa" w:w="60"/>
              <w:left w:type="dxa" w:w="100"/>
              <w:bottom w:type="dxa" w:w="60"/>
              <w:right w:type="dxa" w:w="100"/>
            </w:tcMar>
          </w:tcPr>
          <w:p>
            <w:r>
              <w:rPr>
                <w:b w:val="false"/>
                <w:bCs w:val="false"/>
                <w:i w:val="false"/>
                <w:iCs w:val="false"/>
                <w:sz w:val="19"/>
                <w:szCs w:val="19"/>
              </w:rPr>
              <w:t xml:space="preserve">58 %</w:t>
            </w:r>
          </w:p>
        </w:tc>
        <w:tc>
          <w:tcPr>
            <w:tcW w:type="dxa" w:w="1600"/>
            <w:tcMar>
              <w:top w:type="dxa" w:w="60"/>
              <w:left w:type="dxa" w:w="100"/>
              <w:bottom w:type="dxa" w:w="60"/>
              <w:right w:type="dxa" w:w="100"/>
            </w:tcMar>
          </w:tcPr>
          <w:p>
            <w:r>
              <w:rPr>
                <w:b w:val="false"/>
                <w:bCs w:val="false"/>
                <w:i w:val="false"/>
                <w:iCs w:val="false"/>
                <w:sz w:val="19"/>
                <w:szCs w:val="19"/>
              </w:rPr>
              <w:t xml:space="preserve">7</w:t>
            </w:r>
          </w:p>
        </w:tc>
        <w:tc>
          <w:tcPr>
            <w:tcW w:type="dxa" w:w="1100"/>
            <w:tcMar>
              <w:top w:type="dxa" w:w="60"/>
              <w:left w:type="dxa" w:w="100"/>
              <w:bottom w:type="dxa" w:w="60"/>
              <w:right w:type="dxa" w:w="100"/>
            </w:tcMar>
          </w:tcPr>
          <w:p>
            <w:r>
              <w:rPr>
                <w:b w:val="false"/>
                <w:bCs w:val="false"/>
                <w:i w:val="false"/>
                <w:iCs w:val="false"/>
                <w:sz w:val="19"/>
                <w:szCs w:val="19"/>
              </w:rPr>
              <w:t xml:space="preserve">2</w:t>
            </w:r>
          </w:p>
        </w:tc>
        <w:tc>
          <w:tcPr>
            <w:tcW w:type="dxa" w:w="1526"/>
            <w:tcMar>
              <w:top w:type="dxa" w:w="60"/>
              <w:left w:type="dxa" w:w="100"/>
              <w:bottom w:type="dxa" w:w="60"/>
              <w:right w:type="dxa" w:w="100"/>
            </w:tcMar>
          </w:tcPr>
          <w:p>
            <w:r>
              <w:rPr>
                <w:b w:val="false"/>
                <w:bCs w:val="false"/>
                <w:i w:val="false"/>
                <w:iCs w:val="false"/>
                <w:sz w:val="19"/>
                <w:szCs w:val="19"/>
              </w:rPr>
              <w:t xml:space="preserve">2</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1900"/>
        <w:gridCol w:w="1700"/>
        <w:gridCol w:w="1226"/>
      </w:tblGrid>
      <w:tr>
        <w:trPr>
          <w:tblHeader/>
        </w:trPr>
        <w:tc>
          <w:tcPr>
            <w:tcW w:type="dxa" w:w="900"/>
            <w:shd w:fill="E8EDF2" w:color="auto" w:val="clear"/>
            <w:tcMar>
              <w:top w:type="dxa" w:w="60"/>
              <w:left w:type="dxa" w:w="100"/>
              <w:bottom w:type="dxa" w:w="60"/>
              <w:right w:type="dxa" w:w="100"/>
            </w:tcMar>
          </w:tcPr>
          <w:p>
            <w:r>
              <w:rPr>
                <w:b/>
                <w:bCs/>
                <w:i w:val="false"/>
                <w:iCs w:val="false"/>
                <w:sz w:val="19"/>
                <w:szCs w:val="19"/>
              </w:rPr>
              <w:t xml:space="preserve">Centre</w:t>
            </w:r>
          </w:p>
        </w:tc>
        <w:tc>
          <w:tcPr>
            <w:tcW w:type="dxa" w:w="3300"/>
            <w:shd w:fill="E8EDF2" w:color="auto" w:val="clear"/>
            <w:tcMar>
              <w:top w:type="dxa" w:w="60"/>
              <w:left w:type="dxa" w:w="100"/>
              <w:bottom w:type="dxa" w:w="60"/>
              <w:right w:type="dxa" w:w="100"/>
            </w:tcMar>
          </w:tcPr>
          <w:p>
            <w:r>
              <w:rPr>
                <w:b/>
                <w:bCs/>
                <w:i w:val="false"/>
                <w:iCs w:val="false"/>
                <w:sz w:val="19"/>
                <w:szCs w:val="19"/>
              </w:rPr>
              <w:t xml:space="preserve">Glycémies de première CPN (part des CPN1)</w:t>
            </w:r>
          </w:p>
        </w:tc>
        <w:tc>
          <w:tcPr>
            <w:tcW w:type="dxa" w:w="1900"/>
            <w:shd w:fill="E8EDF2" w:color="auto" w:val="clear"/>
            <w:tcMar>
              <w:top w:type="dxa" w:w="60"/>
              <w:left w:type="dxa" w:w="100"/>
              <w:bottom w:type="dxa" w:w="60"/>
              <w:right w:type="dxa" w:w="100"/>
            </w:tcMar>
          </w:tcPr>
          <w:p>
            <w:r>
              <w:rPr>
                <w:b/>
                <w:bCs/>
                <w:i w:val="false"/>
                <w:iCs w:val="false"/>
                <w:sz w:val="19"/>
                <w:szCs w:val="19"/>
              </w:rPr>
              <w:t xml:space="preserve">Ruptures de bandelettes (mois)</w:t>
            </w:r>
          </w:p>
        </w:tc>
        <w:tc>
          <w:tcPr>
            <w:tcW w:type="dxa" w:w="1700"/>
            <w:shd w:fill="E8EDF2" w:color="auto" w:val="clear"/>
            <w:tcMar>
              <w:top w:type="dxa" w:w="60"/>
              <w:left w:type="dxa" w:w="100"/>
              <w:bottom w:type="dxa" w:w="60"/>
              <w:right w:type="dxa" w:w="100"/>
            </w:tcMar>
          </w:tcPr>
          <w:p>
            <w:r>
              <w:rPr>
                <w:b/>
                <w:bCs/>
                <w:i w:val="false"/>
                <w:iCs w:val="false"/>
                <w:sz w:val="19"/>
                <w:szCs w:val="19"/>
              </w:rPr>
              <w:t xml:space="preserve">Secteur : pauvreté</w:t>
            </w:r>
          </w:p>
        </w:tc>
        <w:tc>
          <w:tcPr>
            <w:tcW w:type="dxa" w:w="1226"/>
            <w:shd w:fill="E8EDF2" w:color="auto" w:val="clear"/>
            <w:tcMar>
              <w:top w:type="dxa" w:w="60"/>
              <w:left w:type="dxa" w:w="100"/>
              <w:bottom w:type="dxa" w:w="60"/>
              <w:right w:type="dxa" w:w="100"/>
            </w:tcMar>
          </w:tcPr>
          <w:p>
            <w:r>
              <w:rPr>
                <w:b/>
                <w:bCs/>
                <w:i w:val="false"/>
                <w:iCs w:val="false"/>
                <w:sz w:val="19"/>
                <w:szCs w:val="19"/>
              </w:rPr>
              <w:t xml:space="preserve">Taux fictif</w:t>
            </w:r>
          </w:p>
        </w:tc>
      </w:tr>
      <w:tr>
        <w:trPr>
          <w:tblHeader w:val="off"/>
        </w:trPr>
        <w:tc>
          <w:tcPr>
            <w:tcW w:type="dxa" w:w="900"/>
            <w:tcMar>
              <w:top w:type="dxa" w:w="60"/>
              <w:left w:type="dxa" w:w="100"/>
              <w:bottom w:type="dxa" w:w="60"/>
              <w:right w:type="dxa" w:w="100"/>
            </w:tcMar>
          </w:tcPr>
          <w:p>
            <w:r>
              <w:rPr>
                <w:b w:val="false"/>
                <w:bCs w:val="false"/>
                <w:i w:val="false"/>
                <w:iCs w:val="false"/>
                <w:sz w:val="19"/>
                <w:szCs w:val="19"/>
              </w:rPr>
              <w:t xml:space="preserve">CS01</w:t>
            </w:r>
          </w:p>
        </w:tc>
        <w:tc>
          <w:tcPr>
            <w:tcW w:type="dxa" w:w="3300"/>
            <w:tcMar>
              <w:top w:type="dxa" w:w="60"/>
              <w:left w:type="dxa" w:w="100"/>
              <w:bottom w:type="dxa" w:w="60"/>
              <w:right w:type="dxa" w:w="100"/>
            </w:tcMar>
          </w:tcPr>
          <w:p>
            <w:r>
              <w:rPr>
                <w:b w:val="false"/>
                <w:bCs w:val="false"/>
                <w:i w:val="false"/>
                <w:iCs w:val="false"/>
                <w:sz w:val="19"/>
                <w:szCs w:val="19"/>
              </w:rPr>
              <w:t xml:space="preserve">1 015 (94 % des CPN1)</w:t>
            </w:r>
          </w:p>
        </w:tc>
        <w:tc>
          <w:tcPr>
            <w:tcW w:type="dxa" w:w="1900"/>
            <w:tcMar>
              <w:top w:type="dxa" w:w="60"/>
              <w:left w:type="dxa" w:w="100"/>
              <w:bottom w:type="dxa" w:w="60"/>
              <w:right w:type="dxa" w:w="100"/>
            </w:tcMar>
          </w:tcPr>
          <w:p>
            <w:r>
              <w:rPr>
                <w:b w:val="false"/>
                <w:bCs w:val="false"/>
                <w:i w:val="false"/>
                <w:iCs w:val="false"/>
                <w:sz w:val="19"/>
                <w:szCs w:val="19"/>
              </w:rPr>
              <w:t xml:space="preserve">0</w:t>
            </w:r>
          </w:p>
        </w:tc>
        <w:tc>
          <w:tcPr>
            <w:tcW w:type="dxa" w:w="1700"/>
            <w:tcMar>
              <w:top w:type="dxa" w:w="60"/>
              <w:left w:type="dxa" w:w="100"/>
              <w:bottom w:type="dxa" w:w="60"/>
              <w:right w:type="dxa" w:w="100"/>
            </w:tcMar>
          </w:tcPr>
          <w:p>
            <w:r>
              <w:rPr>
                <w:b w:val="false"/>
                <w:bCs w:val="false"/>
                <w:i w:val="false"/>
                <w:iCs w:val="false"/>
                <w:sz w:val="19"/>
                <w:szCs w:val="19"/>
              </w:rPr>
              <w:t xml:space="preserve">plus faible</w:t>
            </w:r>
          </w:p>
        </w:tc>
        <w:tc>
          <w:tcPr>
            <w:tcW w:type="dxa" w:w="1226"/>
            <w:tcMar>
              <w:top w:type="dxa" w:w="60"/>
              <w:left w:type="dxa" w:w="100"/>
              <w:bottom w:type="dxa" w:w="60"/>
              <w:right w:type="dxa" w:w="100"/>
            </w:tcMar>
          </w:tcPr>
          <w:p>
            <w:r>
              <w:rPr>
                <w:b w:val="false"/>
                <w:bCs w:val="false"/>
                <w:i w:val="false"/>
                <w:iCs w:val="false"/>
                <w:sz w:val="19"/>
                <w:szCs w:val="19"/>
              </w:rPr>
              <w:t xml:space="preserve">19 %</w:t>
            </w:r>
          </w:p>
        </w:tc>
      </w:tr>
      <w:tr>
        <w:trPr>
          <w:tblHeader w:val="off"/>
        </w:trPr>
        <w:tc>
          <w:tcPr>
            <w:tcW w:type="dxa" w:w="900"/>
            <w:tcMar>
              <w:top w:type="dxa" w:w="60"/>
              <w:left w:type="dxa" w:w="100"/>
              <w:bottom w:type="dxa" w:w="60"/>
              <w:right w:type="dxa" w:w="100"/>
            </w:tcMar>
          </w:tcPr>
          <w:p>
            <w:r>
              <w:rPr>
                <w:b w:val="false"/>
                <w:bCs w:val="false"/>
                <w:i w:val="false"/>
                <w:iCs w:val="false"/>
                <w:sz w:val="19"/>
                <w:szCs w:val="19"/>
              </w:rPr>
              <w:t xml:space="preserve">CS02</w:t>
            </w:r>
          </w:p>
        </w:tc>
        <w:tc>
          <w:tcPr>
            <w:tcW w:type="dxa" w:w="3300"/>
            <w:tcMar>
              <w:top w:type="dxa" w:w="60"/>
              <w:left w:type="dxa" w:w="100"/>
              <w:bottom w:type="dxa" w:w="60"/>
              <w:right w:type="dxa" w:w="100"/>
            </w:tcMar>
          </w:tcPr>
          <w:p>
            <w:r>
              <w:rPr>
                <w:b w:val="false"/>
                <w:bCs w:val="false"/>
                <w:i w:val="false"/>
                <w:iCs w:val="false"/>
                <w:sz w:val="19"/>
                <w:szCs w:val="19"/>
              </w:rPr>
              <w:t xml:space="preserve">500 (58 %)</w:t>
            </w:r>
          </w:p>
        </w:tc>
        <w:tc>
          <w:tcPr>
            <w:tcW w:type="dxa" w:w="1900"/>
            <w:tcMar>
              <w:top w:type="dxa" w:w="60"/>
              <w:left w:type="dxa" w:w="100"/>
              <w:bottom w:type="dxa" w:w="60"/>
              <w:right w:type="dxa" w:w="100"/>
            </w:tcMar>
          </w:tcPr>
          <w:p>
            <w:r>
              <w:rPr>
                <w:b w:val="false"/>
                <w:bCs w:val="false"/>
                <w:i w:val="false"/>
                <w:iCs w:val="false"/>
                <w:sz w:val="19"/>
                <w:szCs w:val="19"/>
              </w:rPr>
              <w:t xml:space="preserve">5</w:t>
            </w:r>
          </w:p>
        </w:tc>
        <w:tc>
          <w:tcPr>
            <w:tcW w:type="dxa" w:w="1700"/>
            <w:tcMar>
              <w:top w:type="dxa" w:w="60"/>
              <w:left w:type="dxa" w:w="100"/>
              <w:bottom w:type="dxa" w:w="60"/>
              <w:right w:type="dxa" w:w="100"/>
            </w:tcMar>
          </w:tcPr>
          <w:p>
            <w:r>
              <w:rPr>
                <w:b w:val="false"/>
                <w:bCs w:val="false"/>
                <w:i w:val="false"/>
                <w:iCs w:val="false"/>
                <w:sz w:val="19"/>
                <w:szCs w:val="19"/>
              </w:rPr>
              <w:t xml:space="preserve">plus faible</w:t>
            </w:r>
          </w:p>
        </w:tc>
        <w:tc>
          <w:tcPr>
            <w:tcW w:type="dxa" w:w="1226"/>
            <w:tcMar>
              <w:top w:type="dxa" w:w="60"/>
              <w:left w:type="dxa" w:w="100"/>
              <w:bottom w:type="dxa" w:w="60"/>
              <w:right w:type="dxa" w:w="100"/>
            </w:tcMar>
          </w:tcPr>
          <w:p>
            <w:r>
              <w:rPr>
                <w:b w:val="false"/>
                <w:bCs w:val="false"/>
                <w:i w:val="false"/>
                <w:iCs w:val="false"/>
                <w:sz w:val="19"/>
                <w:szCs w:val="19"/>
              </w:rPr>
              <w:t xml:space="preserve">21 %</w:t>
            </w:r>
          </w:p>
        </w:tc>
      </w:tr>
      <w:tr>
        <w:trPr>
          <w:tblHeader w:val="off"/>
        </w:trPr>
        <w:tc>
          <w:tcPr>
            <w:tcW w:type="dxa" w:w="900"/>
            <w:tcMar>
              <w:top w:type="dxa" w:w="60"/>
              <w:left w:type="dxa" w:w="100"/>
              <w:bottom w:type="dxa" w:w="60"/>
              <w:right w:type="dxa" w:w="100"/>
            </w:tcMar>
          </w:tcPr>
          <w:p>
            <w:r>
              <w:rPr>
                <w:b w:val="false"/>
                <w:bCs w:val="false"/>
                <w:i w:val="false"/>
                <w:iCs w:val="false"/>
                <w:sz w:val="19"/>
                <w:szCs w:val="19"/>
              </w:rPr>
              <w:t xml:space="preserve">CS03</w:t>
            </w:r>
          </w:p>
        </w:tc>
        <w:tc>
          <w:tcPr>
            <w:tcW w:type="dxa" w:w="3300"/>
            <w:tcMar>
              <w:top w:type="dxa" w:w="60"/>
              <w:left w:type="dxa" w:w="100"/>
              <w:bottom w:type="dxa" w:w="60"/>
              <w:right w:type="dxa" w:w="100"/>
            </w:tcMar>
          </w:tcPr>
          <w:p>
            <w:r>
              <w:rPr>
                <w:b w:val="false"/>
                <w:bCs w:val="false"/>
                <w:i w:val="false"/>
                <w:iCs w:val="false"/>
                <w:sz w:val="19"/>
                <w:szCs w:val="19"/>
              </w:rPr>
              <w:t xml:space="preserve">810 (82 %)</w:t>
            </w:r>
          </w:p>
        </w:tc>
        <w:tc>
          <w:tcPr>
            <w:tcW w:type="dxa" w:w="1900"/>
            <w:tcMar>
              <w:top w:type="dxa" w:w="60"/>
              <w:left w:type="dxa" w:w="100"/>
              <w:bottom w:type="dxa" w:w="60"/>
              <w:right w:type="dxa" w:w="100"/>
            </w:tcMar>
          </w:tcPr>
          <w:p>
            <w:r>
              <w:rPr>
                <w:b w:val="false"/>
                <w:bCs w:val="false"/>
                <w:i w:val="false"/>
                <w:iCs w:val="false"/>
                <w:sz w:val="19"/>
                <w:szCs w:val="19"/>
              </w:rPr>
              <w:t xml:space="preserve">2</w:t>
            </w:r>
          </w:p>
        </w:tc>
        <w:tc>
          <w:tcPr>
            <w:tcW w:type="dxa" w:w="1700"/>
            <w:tcMar>
              <w:top w:type="dxa" w:w="60"/>
              <w:left w:type="dxa" w:w="100"/>
              <w:bottom w:type="dxa" w:w="60"/>
              <w:right w:type="dxa" w:w="100"/>
            </w:tcMar>
          </w:tcPr>
          <w:p>
            <w:r>
              <w:rPr>
                <w:b w:val="false"/>
                <w:bCs w:val="false"/>
                <w:i w:val="false"/>
                <w:iCs w:val="false"/>
                <w:sz w:val="19"/>
                <w:szCs w:val="19"/>
              </w:rPr>
              <w:t xml:space="preserve">plus faible</w:t>
            </w:r>
          </w:p>
        </w:tc>
        <w:tc>
          <w:tcPr>
            <w:tcW w:type="dxa" w:w="1226"/>
            <w:tcMar>
              <w:top w:type="dxa" w:w="60"/>
              <w:left w:type="dxa" w:w="100"/>
              <w:bottom w:type="dxa" w:w="60"/>
              <w:right w:type="dxa" w:w="100"/>
            </w:tcMar>
          </w:tcPr>
          <w:p>
            <w:r>
              <w:rPr>
                <w:b w:val="false"/>
                <w:bCs w:val="false"/>
                <w:i w:val="false"/>
                <w:iCs w:val="false"/>
                <w:sz w:val="19"/>
                <w:szCs w:val="19"/>
              </w:rPr>
              <w:t xml:space="preserve">18 %</w:t>
            </w:r>
          </w:p>
        </w:tc>
      </w:tr>
      <w:tr>
        <w:trPr>
          <w:tblHeader w:val="off"/>
        </w:trPr>
        <w:tc>
          <w:tcPr>
            <w:tcW w:type="dxa" w:w="900"/>
            <w:tcMar>
              <w:top w:type="dxa" w:w="60"/>
              <w:left w:type="dxa" w:w="100"/>
              <w:bottom w:type="dxa" w:w="60"/>
              <w:right w:type="dxa" w:w="100"/>
            </w:tcMar>
          </w:tcPr>
          <w:p>
            <w:r>
              <w:rPr>
                <w:b w:val="false"/>
                <w:bCs w:val="false"/>
                <w:i w:val="false"/>
                <w:iCs w:val="false"/>
                <w:sz w:val="19"/>
                <w:szCs w:val="19"/>
              </w:rPr>
              <w:t xml:space="preserve">CS04</w:t>
            </w:r>
          </w:p>
        </w:tc>
        <w:tc>
          <w:tcPr>
            <w:tcW w:type="dxa" w:w="3300"/>
            <w:tcMar>
              <w:top w:type="dxa" w:w="60"/>
              <w:left w:type="dxa" w:w="100"/>
              <w:bottom w:type="dxa" w:w="60"/>
              <w:right w:type="dxa" w:w="100"/>
            </w:tcMar>
          </w:tcPr>
          <w:p>
            <w:r>
              <w:rPr>
                <w:b w:val="false"/>
                <w:bCs w:val="false"/>
                <w:i w:val="false"/>
                <w:iCs w:val="false"/>
                <w:sz w:val="19"/>
                <w:szCs w:val="19"/>
              </w:rPr>
              <w:t xml:space="preserve">340 (61 %) — test fait les jours de présence de la professionnelle formée</w:t>
            </w:r>
          </w:p>
        </w:tc>
        <w:tc>
          <w:tcPr>
            <w:tcW w:type="dxa" w:w="1900"/>
            <w:tcMar>
              <w:top w:type="dxa" w:w="60"/>
              <w:left w:type="dxa" w:w="100"/>
              <w:bottom w:type="dxa" w:w="60"/>
              <w:right w:type="dxa" w:w="100"/>
            </w:tcMar>
          </w:tcPr>
          <w:p>
            <w:r>
              <w:rPr>
                <w:b w:val="false"/>
                <w:bCs w:val="false"/>
                <w:i w:val="false"/>
                <w:iCs w:val="false"/>
                <w:sz w:val="19"/>
                <w:szCs w:val="19"/>
              </w:rPr>
              <w:t xml:space="preserve">0</w:t>
            </w:r>
          </w:p>
        </w:tc>
        <w:tc>
          <w:tcPr>
            <w:tcW w:type="dxa" w:w="1700"/>
            <w:tcMar>
              <w:top w:type="dxa" w:w="60"/>
              <w:left w:type="dxa" w:w="100"/>
              <w:bottom w:type="dxa" w:w="60"/>
              <w:right w:type="dxa" w:w="100"/>
            </w:tcMar>
          </w:tcPr>
          <w:p>
            <w:r>
              <w:rPr>
                <w:b w:val="false"/>
                <w:bCs w:val="false"/>
                <w:i w:val="false"/>
                <w:iCs w:val="false"/>
                <w:sz w:val="19"/>
                <w:szCs w:val="19"/>
              </w:rPr>
              <w:t xml:space="preserve">plus élevée</w:t>
            </w:r>
          </w:p>
        </w:tc>
        <w:tc>
          <w:tcPr>
            <w:tcW w:type="dxa" w:w="1226"/>
            <w:tcMar>
              <w:top w:type="dxa" w:w="60"/>
              <w:left w:type="dxa" w:w="100"/>
              <w:bottom w:type="dxa" w:w="60"/>
              <w:right w:type="dxa" w:w="100"/>
            </w:tcMar>
          </w:tcPr>
          <w:p>
            <w:r>
              <w:rPr>
                <w:b w:val="false"/>
                <w:bCs w:val="false"/>
                <w:i w:val="false"/>
                <w:iCs w:val="false"/>
                <w:sz w:val="19"/>
                <w:szCs w:val="19"/>
              </w:rPr>
              <w:t xml:space="preserve">36 %</w:t>
            </w:r>
          </w:p>
        </w:tc>
      </w:tr>
      <w:tr>
        <w:trPr>
          <w:tblHeader w:val="off"/>
        </w:trPr>
        <w:tc>
          <w:tcPr>
            <w:tcW w:type="dxa" w:w="900"/>
            <w:tcMar>
              <w:top w:type="dxa" w:w="60"/>
              <w:left w:type="dxa" w:w="100"/>
              <w:bottom w:type="dxa" w:w="60"/>
              <w:right w:type="dxa" w:w="100"/>
            </w:tcMar>
          </w:tcPr>
          <w:p>
            <w:r>
              <w:rPr>
                <w:b w:val="false"/>
                <w:bCs w:val="false"/>
                <w:i w:val="false"/>
                <w:iCs w:val="false"/>
                <w:sz w:val="19"/>
                <w:szCs w:val="19"/>
              </w:rPr>
              <w:t xml:space="preserve">CS05</w:t>
            </w:r>
          </w:p>
        </w:tc>
        <w:tc>
          <w:tcPr>
            <w:tcW w:type="dxa" w:w="3300"/>
            <w:tcMar>
              <w:top w:type="dxa" w:w="60"/>
              <w:left w:type="dxa" w:w="100"/>
              <w:bottom w:type="dxa" w:w="60"/>
              <w:right w:type="dxa" w:w="100"/>
            </w:tcMar>
          </w:tcPr>
          <w:p>
            <w:r>
              <w:rPr>
                <w:b w:val="false"/>
                <w:bCs w:val="false"/>
                <w:i w:val="false"/>
                <w:iCs w:val="false"/>
                <w:sz w:val="19"/>
                <w:szCs w:val="19"/>
              </w:rPr>
              <w:t xml:space="preserve">300 (70 %)</w:t>
            </w:r>
          </w:p>
        </w:tc>
        <w:tc>
          <w:tcPr>
            <w:tcW w:type="dxa" w:w="1900"/>
            <w:tcMar>
              <w:top w:type="dxa" w:w="60"/>
              <w:left w:type="dxa" w:w="100"/>
              <w:bottom w:type="dxa" w:w="60"/>
              <w:right w:type="dxa" w:w="100"/>
            </w:tcMar>
          </w:tcPr>
          <w:p>
            <w:r>
              <w:rPr>
                <w:b w:val="false"/>
                <w:bCs w:val="false"/>
                <w:i w:val="false"/>
                <w:iCs w:val="false"/>
                <w:sz w:val="19"/>
                <w:szCs w:val="19"/>
              </w:rPr>
              <w:t xml:space="preserve">3</w:t>
            </w:r>
          </w:p>
        </w:tc>
        <w:tc>
          <w:tcPr>
            <w:tcW w:type="dxa" w:w="1700"/>
            <w:tcMar>
              <w:top w:type="dxa" w:w="60"/>
              <w:left w:type="dxa" w:w="100"/>
              <w:bottom w:type="dxa" w:w="60"/>
              <w:right w:type="dxa" w:w="100"/>
            </w:tcMar>
          </w:tcPr>
          <w:p>
            <w:r>
              <w:rPr>
                <w:b w:val="false"/>
                <w:bCs w:val="false"/>
                <w:i w:val="false"/>
                <w:iCs w:val="false"/>
                <w:sz w:val="19"/>
                <w:szCs w:val="19"/>
              </w:rPr>
              <w:t xml:space="preserve">plus élevée</w:t>
            </w:r>
          </w:p>
        </w:tc>
        <w:tc>
          <w:tcPr>
            <w:tcW w:type="dxa" w:w="1226"/>
            <w:tcMar>
              <w:top w:type="dxa" w:w="60"/>
              <w:left w:type="dxa" w:w="100"/>
              <w:bottom w:type="dxa" w:w="60"/>
              <w:right w:type="dxa" w:w="100"/>
            </w:tcMar>
          </w:tcPr>
          <w:p>
            <w:r>
              <w:rPr>
                <w:b w:val="false"/>
                <w:bCs w:val="false"/>
                <w:i w:val="false"/>
                <w:iCs w:val="false"/>
                <w:sz w:val="19"/>
                <w:szCs w:val="19"/>
              </w:rPr>
              <w:t xml:space="preserve">40 %</w:t>
            </w:r>
          </w:p>
        </w:tc>
      </w:tr>
      <w:tr>
        <w:trPr>
          <w:tblHeader w:val="off"/>
        </w:trPr>
        <w:tc>
          <w:tcPr>
            <w:tcW w:type="dxa" w:w="900"/>
            <w:tcMar>
              <w:top w:type="dxa" w:w="60"/>
              <w:left w:type="dxa" w:w="100"/>
              <w:bottom w:type="dxa" w:w="60"/>
              <w:right w:type="dxa" w:w="100"/>
            </w:tcMar>
          </w:tcPr>
          <w:p>
            <w:r>
              <w:rPr>
                <w:b w:val="false"/>
                <w:bCs w:val="false"/>
                <w:i w:val="false"/>
                <w:iCs w:val="false"/>
                <w:sz w:val="19"/>
                <w:szCs w:val="19"/>
              </w:rPr>
              <w:t xml:space="preserve">CS06</w:t>
            </w:r>
          </w:p>
        </w:tc>
        <w:tc>
          <w:tcPr>
            <w:tcW w:type="dxa" w:w="3300"/>
            <w:tcMar>
              <w:top w:type="dxa" w:w="60"/>
              <w:left w:type="dxa" w:w="100"/>
              <w:bottom w:type="dxa" w:w="60"/>
              <w:right w:type="dxa" w:w="100"/>
            </w:tcMar>
          </w:tcPr>
          <w:p>
            <w:r>
              <w:rPr>
                <w:b w:val="false"/>
                <w:bCs w:val="false"/>
                <w:i w:val="false"/>
                <w:iCs w:val="false"/>
                <w:sz w:val="19"/>
                <w:szCs w:val="19"/>
              </w:rPr>
              <w:t xml:space="preserve">430 (48 %)</w:t>
            </w:r>
          </w:p>
        </w:tc>
        <w:tc>
          <w:tcPr>
            <w:tcW w:type="dxa" w:w="1900"/>
            <w:tcMar>
              <w:top w:type="dxa" w:w="60"/>
              <w:left w:type="dxa" w:w="100"/>
              <w:bottom w:type="dxa" w:w="60"/>
              <w:right w:type="dxa" w:w="100"/>
            </w:tcMar>
          </w:tcPr>
          <w:p>
            <w:r>
              <w:rPr>
                <w:b w:val="false"/>
                <w:bCs w:val="false"/>
                <w:i w:val="false"/>
                <w:iCs w:val="false"/>
                <w:sz w:val="19"/>
                <w:szCs w:val="19"/>
              </w:rPr>
              <w:t xml:space="preserve">6</w:t>
            </w:r>
          </w:p>
        </w:tc>
        <w:tc>
          <w:tcPr>
            <w:tcW w:type="dxa" w:w="1700"/>
            <w:tcMar>
              <w:top w:type="dxa" w:w="60"/>
              <w:left w:type="dxa" w:w="100"/>
              <w:bottom w:type="dxa" w:w="60"/>
              <w:right w:type="dxa" w:w="100"/>
            </w:tcMar>
          </w:tcPr>
          <w:p>
            <w:r>
              <w:rPr>
                <w:b w:val="false"/>
                <w:bCs w:val="false"/>
                <w:i w:val="false"/>
                <w:iCs w:val="false"/>
                <w:sz w:val="19"/>
                <w:szCs w:val="19"/>
              </w:rPr>
              <w:t xml:space="preserve">plus faible</w:t>
            </w:r>
          </w:p>
        </w:tc>
        <w:tc>
          <w:tcPr>
            <w:tcW w:type="dxa" w:w="1226"/>
            <w:tcMar>
              <w:top w:type="dxa" w:w="60"/>
              <w:left w:type="dxa" w:w="100"/>
              <w:bottom w:type="dxa" w:w="60"/>
              <w:right w:type="dxa" w:w="100"/>
            </w:tcMar>
          </w:tcPr>
          <w:p>
            <w:r>
              <w:rPr>
                <w:b w:val="false"/>
                <w:bCs w:val="false"/>
                <w:i w:val="false"/>
                <w:iCs w:val="false"/>
                <w:sz w:val="19"/>
                <w:szCs w:val="19"/>
              </w:rPr>
              <w:t xml:space="preserve">23 %</w:t>
            </w:r>
          </w:p>
        </w:tc>
      </w:tr>
      <w:tr>
        <w:trPr>
          <w:tblHeader w:val="off"/>
        </w:trPr>
        <w:tc>
          <w:tcPr>
            <w:tcW w:type="dxa" w:w="900"/>
            <w:tcMar>
              <w:top w:type="dxa" w:w="60"/>
              <w:left w:type="dxa" w:w="100"/>
              <w:bottom w:type="dxa" w:w="60"/>
              <w:right w:type="dxa" w:w="100"/>
            </w:tcMar>
          </w:tcPr>
          <w:p>
            <w:r>
              <w:rPr>
                <w:b w:val="false"/>
                <w:bCs w:val="false"/>
                <w:i w:val="false"/>
                <w:iCs w:val="false"/>
                <w:sz w:val="19"/>
                <w:szCs w:val="19"/>
              </w:rPr>
              <w:t xml:space="preserve">CS07</w:t>
            </w:r>
          </w:p>
        </w:tc>
        <w:tc>
          <w:tcPr>
            <w:tcW w:type="dxa" w:w="3300"/>
            <w:tcMar>
              <w:top w:type="dxa" w:w="60"/>
              <w:left w:type="dxa" w:w="100"/>
              <w:bottom w:type="dxa" w:w="60"/>
              <w:right w:type="dxa" w:w="100"/>
            </w:tcMar>
          </w:tcPr>
          <w:p>
            <w:r>
              <w:rPr>
                <w:b w:val="false"/>
                <w:bCs w:val="false"/>
                <w:i w:val="false"/>
                <w:iCs w:val="false"/>
                <w:sz w:val="19"/>
                <w:szCs w:val="19"/>
              </w:rPr>
              <w:t xml:space="preserve">330 (56 %) — test fait les jours de présence de la professionnelle formée</w:t>
            </w:r>
          </w:p>
        </w:tc>
        <w:tc>
          <w:tcPr>
            <w:tcW w:type="dxa" w:w="1900"/>
            <w:tcMar>
              <w:top w:type="dxa" w:w="60"/>
              <w:left w:type="dxa" w:w="100"/>
              <w:bottom w:type="dxa" w:w="60"/>
              <w:right w:type="dxa" w:w="100"/>
            </w:tcMar>
          </w:tcPr>
          <w:p>
            <w:r>
              <w:rPr>
                <w:b w:val="false"/>
                <w:bCs w:val="false"/>
                <w:i w:val="false"/>
                <w:iCs w:val="false"/>
                <w:sz w:val="19"/>
                <w:szCs w:val="19"/>
              </w:rPr>
              <w:t xml:space="preserve">0</w:t>
            </w:r>
          </w:p>
        </w:tc>
        <w:tc>
          <w:tcPr>
            <w:tcW w:type="dxa" w:w="1700"/>
            <w:tcMar>
              <w:top w:type="dxa" w:w="60"/>
              <w:left w:type="dxa" w:w="100"/>
              <w:bottom w:type="dxa" w:w="60"/>
              <w:right w:type="dxa" w:w="100"/>
            </w:tcMar>
          </w:tcPr>
          <w:p>
            <w:r>
              <w:rPr>
                <w:b w:val="false"/>
                <w:bCs w:val="false"/>
                <w:i w:val="false"/>
                <w:iCs w:val="false"/>
                <w:sz w:val="19"/>
                <w:szCs w:val="19"/>
              </w:rPr>
              <w:t xml:space="preserve">plus élevée</w:t>
            </w:r>
          </w:p>
        </w:tc>
        <w:tc>
          <w:tcPr>
            <w:tcW w:type="dxa" w:w="1226"/>
            <w:tcMar>
              <w:top w:type="dxa" w:w="60"/>
              <w:left w:type="dxa" w:w="100"/>
              <w:bottom w:type="dxa" w:w="60"/>
              <w:right w:type="dxa" w:w="100"/>
            </w:tcMar>
          </w:tcPr>
          <w:p>
            <w:r>
              <w:rPr>
                <w:b w:val="false"/>
                <w:bCs w:val="false"/>
                <w:i w:val="false"/>
                <w:iCs w:val="false"/>
                <w:sz w:val="19"/>
                <w:szCs w:val="19"/>
              </w:rPr>
              <w:t xml:space="preserve">38 %</w:t>
            </w:r>
          </w:p>
        </w:tc>
      </w:tr>
      <w:tr>
        <w:trPr>
          <w:tblHeader w:val="off"/>
        </w:trPr>
        <w:tc>
          <w:tcPr>
            <w:tcW w:type="dxa" w:w="900"/>
            <w:tcMar>
              <w:top w:type="dxa" w:w="60"/>
              <w:left w:type="dxa" w:w="100"/>
              <w:bottom w:type="dxa" w:w="60"/>
              <w:right w:type="dxa" w:w="100"/>
            </w:tcMar>
          </w:tcPr>
          <w:p>
            <w:r>
              <w:rPr>
                <w:b w:val="false"/>
                <w:bCs w:val="false"/>
                <w:i w:val="false"/>
                <w:iCs w:val="false"/>
                <w:sz w:val="19"/>
                <w:szCs w:val="19"/>
              </w:rPr>
              <w:t xml:space="preserve">CS08</w:t>
            </w:r>
          </w:p>
        </w:tc>
        <w:tc>
          <w:tcPr>
            <w:tcW w:type="dxa" w:w="3300"/>
            <w:tcMar>
              <w:top w:type="dxa" w:w="60"/>
              <w:left w:type="dxa" w:w="100"/>
              <w:bottom w:type="dxa" w:w="60"/>
              <w:right w:type="dxa" w:w="100"/>
            </w:tcMar>
          </w:tcPr>
          <w:p>
            <w:r>
              <w:rPr>
                <w:b w:val="false"/>
                <w:bCs w:val="false"/>
                <w:i w:val="false"/>
                <w:iCs w:val="false"/>
                <w:sz w:val="19"/>
                <w:szCs w:val="19"/>
              </w:rPr>
              <w:t xml:space="preserve">430 (70 %) — glucomètre en panne d'octobre à décembre</w:t>
            </w:r>
          </w:p>
        </w:tc>
        <w:tc>
          <w:tcPr>
            <w:tcW w:type="dxa" w:w="1900"/>
            <w:tcMar>
              <w:top w:type="dxa" w:w="60"/>
              <w:left w:type="dxa" w:w="100"/>
              <w:bottom w:type="dxa" w:w="60"/>
              <w:right w:type="dxa" w:w="100"/>
            </w:tcMar>
          </w:tcPr>
          <w:p>
            <w:r>
              <w:rPr>
                <w:b w:val="false"/>
                <w:bCs w:val="false"/>
                <w:i w:val="false"/>
                <w:iCs w:val="false"/>
                <w:sz w:val="19"/>
                <w:szCs w:val="19"/>
              </w:rPr>
              <w:t xml:space="preserve">0</w:t>
            </w:r>
          </w:p>
        </w:tc>
        <w:tc>
          <w:tcPr>
            <w:tcW w:type="dxa" w:w="1700"/>
            <w:tcMar>
              <w:top w:type="dxa" w:w="60"/>
              <w:left w:type="dxa" w:w="100"/>
              <w:bottom w:type="dxa" w:w="60"/>
              <w:right w:type="dxa" w:w="100"/>
            </w:tcMar>
          </w:tcPr>
          <w:p>
            <w:r>
              <w:rPr>
                <w:b w:val="false"/>
                <w:bCs w:val="false"/>
                <w:i w:val="false"/>
                <w:iCs w:val="false"/>
                <w:sz w:val="19"/>
                <w:szCs w:val="19"/>
              </w:rPr>
              <w:t xml:space="preserve">plus élevée</w:t>
            </w:r>
          </w:p>
        </w:tc>
        <w:tc>
          <w:tcPr>
            <w:tcW w:type="dxa" w:w="1226"/>
            <w:tcMar>
              <w:top w:type="dxa" w:w="60"/>
              <w:left w:type="dxa" w:w="100"/>
              <w:bottom w:type="dxa" w:w="60"/>
              <w:right w:type="dxa" w:w="100"/>
            </w:tcMar>
          </w:tcPr>
          <w:p>
            <w:r>
              <w:rPr>
                <w:b w:val="false"/>
                <w:bCs w:val="false"/>
                <w:i w:val="false"/>
                <w:iCs w:val="false"/>
                <w:sz w:val="19"/>
                <w:szCs w:val="19"/>
              </w:rPr>
              <w:t xml:space="preserve">35 %</w:t>
            </w:r>
          </w:p>
        </w:tc>
      </w:tr>
      <w:tr>
        <w:trPr>
          <w:tblHeader w:val="off"/>
        </w:trPr>
        <w:tc>
          <w:tcPr>
            <w:tcW w:type="dxa" w:w="900"/>
            <w:tcMar>
              <w:top w:type="dxa" w:w="60"/>
              <w:left w:type="dxa" w:w="100"/>
              <w:bottom w:type="dxa" w:w="60"/>
              <w:right w:type="dxa" w:w="100"/>
            </w:tcMar>
          </w:tcPr>
          <w:p>
            <w:r>
              <w:rPr>
                <w:b w:val="false"/>
                <w:bCs w:val="false"/>
                <w:i w:val="false"/>
                <w:iCs w:val="false"/>
                <w:sz w:val="19"/>
                <w:szCs w:val="19"/>
              </w:rPr>
              <w:t xml:space="preserve">CS09</w:t>
            </w:r>
          </w:p>
        </w:tc>
        <w:tc>
          <w:tcPr>
            <w:tcW w:type="dxa" w:w="3300"/>
            <w:tcMar>
              <w:top w:type="dxa" w:w="60"/>
              <w:left w:type="dxa" w:w="100"/>
              <w:bottom w:type="dxa" w:w="60"/>
              <w:right w:type="dxa" w:w="100"/>
            </w:tcMar>
          </w:tcPr>
          <w:p>
            <w:r>
              <w:rPr>
                <w:b w:val="false"/>
                <w:bCs w:val="false"/>
                <w:i w:val="false"/>
                <w:iCs w:val="false"/>
                <w:sz w:val="19"/>
                <w:szCs w:val="19"/>
              </w:rPr>
              <w:t xml:space="preserve">220 (92 %)</w:t>
            </w:r>
          </w:p>
        </w:tc>
        <w:tc>
          <w:tcPr>
            <w:tcW w:type="dxa" w:w="1900"/>
            <w:tcMar>
              <w:top w:type="dxa" w:w="60"/>
              <w:left w:type="dxa" w:w="100"/>
              <w:bottom w:type="dxa" w:w="60"/>
              <w:right w:type="dxa" w:w="100"/>
            </w:tcMar>
          </w:tcPr>
          <w:p>
            <w:r>
              <w:rPr>
                <w:b w:val="false"/>
                <w:bCs w:val="false"/>
                <w:i w:val="false"/>
                <w:iCs w:val="false"/>
                <w:sz w:val="19"/>
                <w:szCs w:val="19"/>
              </w:rPr>
              <w:t xml:space="preserve">0</w:t>
            </w:r>
          </w:p>
        </w:tc>
        <w:tc>
          <w:tcPr>
            <w:tcW w:type="dxa" w:w="1700"/>
            <w:tcMar>
              <w:top w:type="dxa" w:w="60"/>
              <w:left w:type="dxa" w:w="100"/>
              <w:bottom w:type="dxa" w:w="60"/>
              <w:right w:type="dxa" w:w="100"/>
            </w:tcMar>
          </w:tcPr>
          <w:p>
            <w:r>
              <w:rPr>
                <w:b w:val="false"/>
                <w:bCs w:val="false"/>
                <w:i w:val="false"/>
                <w:iCs w:val="false"/>
                <w:sz w:val="19"/>
                <w:szCs w:val="19"/>
              </w:rPr>
              <w:t xml:space="preserve">plus élevée</w:t>
            </w:r>
          </w:p>
        </w:tc>
        <w:tc>
          <w:tcPr>
            <w:tcW w:type="dxa" w:w="1226"/>
            <w:tcMar>
              <w:top w:type="dxa" w:w="60"/>
              <w:left w:type="dxa" w:w="100"/>
              <w:bottom w:type="dxa" w:w="60"/>
              <w:right w:type="dxa" w:w="100"/>
            </w:tcMar>
          </w:tcPr>
          <w:p>
            <w:r>
              <w:rPr>
                <w:b w:val="false"/>
                <w:bCs w:val="false"/>
                <w:i w:val="false"/>
                <w:iCs w:val="false"/>
                <w:sz w:val="19"/>
                <w:szCs w:val="19"/>
              </w:rPr>
              <w:t xml:space="preserve">41 %</w:t>
            </w:r>
          </w:p>
        </w:tc>
      </w:tr>
      <w:tr>
        <w:trPr>
          <w:tblHeader w:val="off"/>
        </w:trPr>
        <w:tc>
          <w:tcPr>
            <w:tcW w:type="dxa" w:w="900"/>
            <w:tcMar>
              <w:top w:type="dxa" w:w="60"/>
              <w:left w:type="dxa" w:w="100"/>
              <w:bottom w:type="dxa" w:w="60"/>
              <w:right w:type="dxa" w:w="100"/>
            </w:tcMar>
          </w:tcPr>
          <w:p>
            <w:r>
              <w:rPr>
                <w:b w:val="false"/>
                <w:bCs w:val="false"/>
                <w:i w:val="false"/>
                <w:iCs w:val="false"/>
                <w:sz w:val="19"/>
                <w:szCs w:val="19"/>
              </w:rPr>
              <w:t xml:space="preserve">CS10</w:t>
            </w:r>
          </w:p>
        </w:tc>
        <w:tc>
          <w:tcPr>
            <w:tcW w:type="dxa" w:w="3300"/>
            <w:tcMar>
              <w:top w:type="dxa" w:w="60"/>
              <w:left w:type="dxa" w:w="100"/>
              <w:bottom w:type="dxa" w:w="60"/>
              <w:right w:type="dxa" w:w="100"/>
            </w:tcMar>
          </w:tcPr>
          <w:p>
            <w:r>
              <w:rPr>
                <w:b w:val="false"/>
                <w:bCs w:val="false"/>
                <w:i w:val="false"/>
                <w:iCs w:val="false"/>
                <w:sz w:val="19"/>
                <w:szCs w:val="19"/>
              </w:rPr>
              <w:t xml:space="preserve">650 (90 %)</w:t>
            </w:r>
          </w:p>
        </w:tc>
        <w:tc>
          <w:tcPr>
            <w:tcW w:type="dxa" w:w="1900"/>
            <w:tcMar>
              <w:top w:type="dxa" w:w="60"/>
              <w:left w:type="dxa" w:w="100"/>
              <w:bottom w:type="dxa" w:w="60"/>
              <w:right w:type="dxa" w:w="100"/>
            </w:tcMar>
          </w:tcPr>
          <w:p>
            <w:r>
              <w:rPr>
                <w:b w:val="false"/>
                <w:bCs w:val="false"/>
                <w:i w:val="false"/>
                <w:iCs w:val="false"/>
                <w:sz w:val="19"/>
                <w:szCs w:val="19"/>
              </w:rPr>
              <w:t xml:space="preserve">1</w:t>
            </w:r>
          </w:p>
        </w:tc>
        <w:tc>
          <w:tcPr>
            <w:tcW w:type="dxa" w:w="1700"/>
            <w:tcMar>
              <w:top w:type="dxa" w:w="60"/>
              <w:left w:type="dxa" w:w="100"/>
              <w:bottom w:type="dxa" w:w="60"/>
              <w:right w:type="dxa" w:w="100"/>
            </w:tcMar>
          </w:tcPr>
          <w:p>
            <w:r>
              <w:rPr>
                <w:b w:val="false"/>
                <w:bCs w:val="false"/>
                <w:i w:val="false"/>
                <w:iCs w:val="false"/>
                <w:sz w:val="19"/>
                <w:szCs w:val="19"/>
              </w:rPr>
              <w:t xml:space="preserve">plus élevée</w:t>
            </w:r>
          </w:p>
        </w:tc>
        <w:tc>
          <w:tcPr>
            <w:tcW w:type="dxa" w:w="1226"/>
            <w:tcMar>
              <w:top w:type="dxa" w:w="60"/>
              <w:left w:type="dxa" w:w="100"/>
              <w:bottom w:type="dxa" w:w="60"/>
              <w:right w:type="dxa" w:w="100"/>
            </w:tcMar>
          </w:tcPr>
          <w:p>
            <w:r>
              <w:rPr>
                <w:b w:val="false"/>
                <w:bCs w:val="false"/>
                <w:i w:val="false"/>
                <w:iCs w:val="false"/>
                <w:sz w:val="19"/>
                <w:szCs w:val="19"/>
              </w:rPr>
              <w:t xml:space="preserve">33 %</w:t>
            </w:r>
          </w:p>
        </w:tc>
      </w:tr>
      <w:tr>
        <w:trPr>
          <w:tblHeader w:val="off"/>
        </w:trPr>
        <w:tc>
          <w:tcPr>
            <w:tcW w:type="dxa" w:w="900"/>
            <w:tcMar>
              <w:top w:type="dxa" w:w="60"/>
              <w:left w:type="dxa" w:w="100"/>
              <w:bottom w:type="dxa" w:w="60"/>
              <w:right w:type="dxa" w:w="100"/>
            </w:tcMar>
          </w:tcPr>
          <w:p>
            <w:r>
              <w:rPr>
                <w:b w:val="false"/>
                <w:bCs w:val="false"/>
                <w:i w:val="false"/>
                <w:iCs w:val="false"/>
                <w:sz w:val="19"/>
                <w:szCs w:val="19"/>
              </w:rPr>
              <w:t xml:space="preserve">CS11</w:t>
            </w:r>
          </w:p>
        </w:tc>
        <w:tc>
          <w:tcPr>
            <w:tcW w:type="dxa" w:w="3300"/>
            <w:tcMar>
              <w:top w:type="dxa" w:w="60"/>
              <w:left w:type="dxa" w:w="100"/>
              <w:bottom w:type="dxa" w:w="60"/>
              <w:right w:type="dxa" w:w="100"/>
            </w:tcMar>
          </w:tcPr>
          <w:p>
            <w:r>
              <w:rPr>
                <w:b w:val="false"/>
                <w:bCs w:val="false"/>
                <w:i w:val="false"/>
                <w:iCs w:val="false"/>
                <w:sz w:val="19"/>
                <w:szCs w:val="19"/>
              </w:rPr>
              <w:t xml:space="preserve">390 (60 %)</w:t>
            </w:r>
          </w:p>
        </w:tc>
        <w:tc>
          <w:tcPr>
            <w:tcW w:type="dxa" w:w="1900"/>
            <w:tcMar>
              <w:top w:type="dxa" w:w="60"/>
              <w:left w:type="dxa" w:w="100"/>
              <w:bottom w:type="dxa" w:w="60"/>
              <w:right w:type="dxa" w:w="100"/>
            </w:tcMar>
          </w:tcPr>
          <w:p>
            <w:r>
              <w:rPr>
                <w:b w:val="false"/>
                <w:bCs w:val="false"/>
                <w:i w:val="false"/>
                <w:iCs w:val="false"/>
                <w:sz w:val="19"/>
                <w:szCs w:val="19"/>
              </w:rPr>
              <w:t xml:space="preserve">4</w:t>
            </w:r>
          </w:p>
        </w:tc>
        <w:tc>
          <w:tcPr>
            <w:tcW w:type="dxa" w:w="1700"/>
            <w:tcMar>
              <w:top w:type="dxa" w:w="60"/>
              <w:left w:type="dxa" w:w="100"/>
              <w:bottom w:type="dxa" w:w="60"/>
              <w:right w:type="dxa" w:w="100"/>
            </w:tcMar>
          </w:tcPr>
          <w:p>
            <w:r>
              <w:rPr>
                <w:b w:val="false"/>
                <w:bCs w:val="false"/>
                <w:i w:val="false"/>
                <w:iCs w:val="false"/>
                <w:sz w:val="19"/>
                <w:szCs w:val="19"/>
              </w:rPr>
              <w:t xml:space="preserve">plus élevée</w:t>
            </w:r>
          </w:p>
        </w:tc>
        <w:tc>
          <w:tcPr>
            <w:tcW w:type="dxa" w:w="1226"/>
            <w:tcMar>
              <w:top w:type="dxa" w:w="60"/>
              <w:left w:type="dxa" w:w="100"/>
              <w:bottom w:type="dxa" w:w="60"/>
              <w:right w:type="dxa" w:w="100"/>
            </w:tcMar>
          </w:tcPr>
          <w:p>
            <w:r>
              <w:rPr>
                <w:b w:val="false"/>
                <w:bCs w:val="false"/>
                <w:i w:val="false"/>
                <w:iCs w:val="false"/>
                <w:sz w:val="19"/>
                <w:szCs w:val="19"/>
              </w:rPr>
              <w:t xml:space="preserve">39 %</w:t>
            </w:r>
          </w:p>
        </w:tc>
      </w:tr>
      <w:tr>
        <w:trPr>
          <w:tblHeader w:val="off"/>
        </w:trPr>
        <w:tc>
          <w:tcPr>
            <w:tcW w:type="dxa" w:w="900"/>
            <w:tcMar>
              <w:top w:type="dxa" w:w="60"/>
              <w:left w:type="dxa" w:w="100"/>
              <w:bottom w:type="dxa" w:w="60"/>
              <w:right w:type="dxa" w:w="100"/>
            </w:tcMar>
          </w:tcPr>
          <w:p>
            <w:r>
              <w:rPr>
                <w:b w:val="false"/>
                <w:bCs w:val="false"/>
                <w:i w:val="false"/>
                <w:iCs w:val="false"/>
                <w:sz w:val="19"/>
                <w:szCs w:val="19"/>
              </w:rPr>
              <w:t xml:space="preserve">CS12</w:t>
            </w:r>
          </w:p>
        </w:tc>
        <w:tc>
          <w:tcPr>
            <w:tcW w:type="dxa" w:w="3300"/>
            <w:tcMar>
              <w:top w:type="dxa" w:w="60"/>
              <w:left w:type="dxa" w:w="100"/>
              <w:bottom w:type="dxa" w:w="60"/>
              <w:right w:type="dxa" w:w="100"/>
            </w:tcMar>
          </w:tcPr>
          <w:p>
            <w:r>
              <w:rPr>
                <w:b w:val="false"/>
                <w:bCs w:val="false"/>
                <w:i w:val="false"/>
                <w:iCs w:val="false"/>
                <w:sz w:val="19"/>
                <w:szCs w:val="19"/>
              </w:rPr>
              <w:t xml:space="preserve">440 (81 %)</w:t>
            </w:r>
          </w:p>
        </w:tc>
        <w:tc>
          <w:tcPr>
            <w:tcW w:type="dxa" w:w="1900"/>
            <w:tcMar>
              <w:top w:type="dxa" w:w="60"/>
              <w:left w:type="dxa" w:w="100"/>
              <w:bottom w:type="dxa" w:w="60"/>
              <w:right w:type="dxa" w:w="100"/>
            </w:tcMar>
          </w:tcPr>
          <w:p>
            <w:r>
              <w:rPr>
                <w:b w:val="false"/>
                <w:bCs w:val="false"/>
                <w:i w:val="false"/>
                <w:iCs w:val="false"/>
                <w:sz w:val="19"/>
                <w:szCs w:val="19"/>
              </w:rPr>
              <w:t xml:space="preserve">2</w:t>
            </w:r>
          </w:p>
        </w:tc>
        <w:tc>
          <w:tcPr>
            <w:tcW w:type="dxa" w:w="1700"/>
            <w:tcMar>
              <w:top w:type="dxa" w:w="60"/>
              <w:left w:type="dxa" w:w="100"/>
              <w:bottom w:type="dxa" w:w="60"/>
              <w:right w:type="dxa" w:w="100"/>
            </w:tcMar>
          </w:tcPr>
          <w:p>
            <w:r>
              <w:rPr>
                <w:b w:val="false"/>
                <w:bCs w:val="false"/>
                <w:i w:val="false"/>
                <w:iCs w:val="false"/>
                <w:sz w:val="19"/>
                <w:szCs w:val="19"/>
              </w:rPr>
              <w:t xml:space="preserve">plus élevée</w:t>
            </w:r>
          </w:p>
        </w:tc>
        <w:tc>
          <w:tcPr>
            <w:tcW w:type="dxa" w:w="1226"/>
            <w:tcMar>
              <w:top w:type="dxa" w:w="60"/>
              <w:left w:type="dxa" w:w="100"/>
              <w:bottom w:type="dxa" w:w="60"/>
              <w:right w:type="dxa" w:w="100"/>
            </w:tcMar>
          </w:tcPr>
          <w:p>
            <w:r>
              <w:rPr>
                <w:b w:val="false"/>
                <w:bCs w:val="false"/>
                <w:i w:val="false"/>
                <w:iCs w:val="false"/>
                <w:sz w:val="19"/>
                <w:szCs w:val="19"/>
              </w:rPr>
              <w:t xml:space="preserve">32 %</w:t>
            </w:r>
          </w:p>
        </w:tc>
      </w:tr>
      <w:tr>
        <w:trPr>
          <w:tblHeader w:val="off"/>
        </w:trPr>
        <w:tc>
          <w:tcPr>
            <w:tcW w:type="dxa" w:w="900"/>
            <w:tcMar>
              <w:top w:type="dxa" w:w="60"/>
              <w:left w:type="dxa" w:w="100"/>
              <w:bottom w:type="dxa" w:w="60"/>
              <w:right w:type="dxa" w:w="100"/>
            </w:tcMar>
          </w:tcPr>
          <w:p>
            <w:r>
              <w:rPr>
                <w:b w:val="false"/>
                <w:bCs w:val="false"/>
                <w:i w:val="false"/>
                <w:iCs w:val="false"/>
                <w:sz w:val="19"/>
                <w:szCs w:val="19"/>
              </w:rPr>
              <w:t xml:space="preserve">CS13</w:t>
            </w:r>
          </w:p>
        </w:tc>
        <w:tc>
          <w:tcPr>
            <w:tcW w:type="dxa" w:w="3300"/>
            <w:tcMar>
              <w:top w:type="dxa" w:w="60"/>
              <w:left w:type="dxa" w:w="100"/>
              <w:bottom w:type="dxa" w:w="60"/>
              <w:right w:type="dxa" w:w="100"/>
            </w:tcMar>
          </w:tcPr>
          <w:p>
            <w:r>
              <w:rPr>
                <w:b w:val="false"/>
                <w:bCs w:val="false"/>
                <w:i w:val="false"/>
                <w:iCs w:val="false"/>
                <w:sz w:val="19"/>
                <w:szCs w:val="19"/>
              </w:rPr>
              <w:t xml:space="preserve">830 (95 %)</w:t>
            </w:r>
          </w:p>
        </w:tc>
        <w:tc>
          <w:tcPr>
            <w:tcW w:type="dxa" w:w="1900"/>
            <w:tcMar>
              <w:top w:type="dxa" w:w="60"/>
              <w:left w:type="dxa" w:w="100"/>
              <w:bottom w:type="dxa" w:w="60"/>
              <w:right w:type="dxa" w:w="100"/>
            </w:tcMar>
          </w:tcPr>
          <w:p>
            <w:r>
              <w:rPr>
                <w:b w:val="false"/>
                <w:bCs w:val="false"/>
                <w:i w:val="false"/>
                <w:iCs w:val="false"/>
                <w:sz w:val="19"/>
                <w:szCs w:val="19"/>
              </w:rPr>
              <w:t xml:space="preserve">0</w:t>
            </w:r>
          </w:p>
        </w:tc>
        <w:tc>
          <w:tcPr>
            <w:tcW w:type="dxa" w:w="1700"/>
            <w:tcMar>
              <w:top w:type="dxa" w:w="60"/>
              <w:left w:type="dxa" w:w="100"/>
              <w:bottom w:type="dxa" w:w="60"/>
              <w:right w:type="dxa" w:w="100"/>
            </w:tcMar>
          </w:tcPr>
          <w:p>
            <w:r>
              <w:rPr>
                <w:b w:val="false"/>
                <w:bCs w:val="false"/>
                <w:i w:val="false"/>
                <w:iCs w:val="false"/>
                <w:sz w:val="19"/>
                <w:szCs w:val="19"/>
              </w:rPr>
              <w:t xml:space="preserve">plus élevée</w:t>
            </w:r>
          </w:p>
        </w:tc>
        <w:tc>
          <w:tcPr>
            <w:tcW w:type="dxa" w:w="1226"/>
            <w:tcMar>
              <w:top w:type="dxa" w:w="60"/>
              <w:left w:type="dxa" w:w="100"/>
              <w:bottom w:type="dxa" w:w="60"/>
              <w:right w:type="dxa" w:w="100"/>
            </w:tcMar>
          </w:tcPr>
          <w:p>
            <w:r>
              <w:rPr>
                <w:b w:val="false"/>
                <w:bCs w:val="false"/>
                <w:i w:val="false"/>
                <w:iCs w:val="false"/>
                <w:sz w:val="19"/>
                <w:szCs w:val="19"/>
              </w:rPr>
              <w:t xml:space="preserve">37 %</w:t>
            </w:r>
          </w:p>
        </w:tc>
      </w:tr>
      <w:tr>
        <w:trPr>
          <w:tblHeader w:val="off"/>
        </w:trPr>
        <w:tc>
          <w:tcPr>
            <w:tcW w:type="dxa" w:w="900"/>
            <w:tcMar>
              <w:top w:type="dxa" w:w="60"/>
              <w:left w:type="dxa" w:w="100"/>
              <w:bottom w:type="dxa" w:w="60"/>
              <w:right w:type="dxa" w:w="100"/>
            </w:tcMar>
          </w:tcPr>
          <w:p>
            <w:r>
              <w:rPr>
                <w:b w:val="false"/>
                <w:bCs w:val="false"/>
                <w:i w:val="false"/>
                <w:iCs w:val="false"/>
                <w:sz w:val="19"/>
                <w:szCs w:val="19"/>
              </w:rPr>
              <w:t xml:space="preserve">CS14</w:t>
            </w:r>
          </w:p>
        </w:tc>
        <w:tc>
          <w:tcPr>
            <w:tcW w:type="dxa" w:w="3300"/>
            <w:tcMar>
              <w:top w:type="dxa" w:w="60"/>
              <w:left w:type="dxa" w:w="100"/>
              <w:bottom w:type="dxa" w:w="60"/>
              <w:right w:type="dxa" w:w="100"/>
            </w:tcMar>
          </w:tcPr>
          <w:p>
            <w:r>
              <w:rPr>
                <w:b w:val="false"/>
                <w:bCs w:val="false"/>
                <w:i w:val="false"/>
                <w:iCs w:val="false"/>
                <w:sz w:val="19"/>
                <w:szCs w:val="19"/>
              </w:rPr>
              <w:t xml:space="preserve">200 (38 %) — glucomètre en panne depuis juin</w:t>
            </w:r>
          </w:p>
        </w:tc>
        <w:tc>
          <w:tcPr>
            <w:tcW w:type="dxa" w:w="1900"/>
            <w:tcMar>
              <w:top w:type="dxa" w:w="60"/>
              <w:left w:type="dxa" w:w="100"/>
              <w:bottom w:type="dxa" w:w="60"/>
              <w:right w:type="dxa" w:w="100"/>
            </w:tcMar>
          </w:tcPr>
          <w:p>
            <w:r>
              <w:rPr>
                <w:b w:val="false"/>
                <w:bCs w:val="false"/>
                <w:i w:val="false"/>
                <w:iCs w:val="false"/>
                <w:sz w:val="19"/>
                <w:szCs w:val="19"/>
              </w:rPr>
              <w:t xml:space="preserve">sans objet depuis la panne</w:t>
            </w:r>
          </w:p>
        </w:tc>
        <w:tc>
          <w:tcPr>
            <w:tcW w:type="dxa" w:w="1700"/>
            <w:tcMar>
              <w:top w:type="dxa" w:w="60"/>
              <w:left w:type="dxa" w:w="100"/>
              <w:bottom w:type="dxa" w:w="60"/>
              <w:right w:type="dxa" w:w="100"/>
            </w:tcMar>
          </w:tcPr>
          <w:p>
            <w:r>
              <w:rPr>
                <w:b w:val="false"/>
                <w:bCs w:val="false"/>
                <w:i w:val="false"/>
                <w:iCs w:val="false"/>
                <w:sz w:val="19"/>
                <w:szCs w:val="19"/>
              </w:rPr>
              <w:t xml:space="preserve">plus élevée</w:t>
            </w:r>
          </w:p>
        </w:tc>
        <w:tc>
          <w:tcPr>
            <w:tcW w:type="dxa" w:w="1226"/>
            <w:tcMar>
              <w:top w:type="dxa" w:w="60"/>
              <w:left w:type="dxa" w:w="100"/>
              <w:bottom w:type="dxa" w:w="60"/>
              <w:right w:type="dxa" w:w="100"/>
            </w:tcMar>
          </w:tcPr>
          <w:p>
            <w:r>
              <w:rPr>
                <w:b w:val="false"/>
                <w:bCs w:val="false"/>
                <w:i w:val="false"/>
                <w:iCs w:val="false"/>
                <w:sz w:val="19"/>
                <w:szCs w:val="19"/>
              </w:rPr>
              <w:t xml:space="preserve">36 %</w:t>
            </w:r>
          </w:p>
        </w:tc>
      </w:tr>
      <w:tr>
        <w:trPr>
          <w:tblHeader w:val="off"/>
        </w:trPr>
        <w:tc>
          <w:tcPr>
            <w:tcW w:type="dxa" w:w="900"/>
            <w:tcMar>
              <w:top w:type="dxa" w:w="60"/>
              <w:left w:type="dxa" w:w="100"/>
              <w:bottom w:type="dxa" w:w="60"/>
              <w:right w:type="dxa" w:w="100"/>
            </w:tcMar>
          </w:tcPr>
          <w:p>
            <w:r>
              <w:rPr>
                <w:b w:val="false"/>
                <w:bCs w:val="false"/>
                <w:i w:val="false"/>
                <w:iCs w:val="false"/>
                <w:sz w:val="19"/>
                <w:szCs w:val="19"/>
              </w:rPr>
              <w:t xml:space="preserve">CS15</w:t>
            </w:r>
          </w:p>
        </w:tc>
        <w:tc>
          <w:tcPr>
            <w:tcW w:type="dxa" w:w="3300"/>
            <w:tcMar>
              <w:top w:type="dxa" w:w="60"/>
              <w:left w:type="dxa" w:w="100"/>
              <w:bottom w:type="dxa" w:w="60"/>
              <w:right w:type="dxa" w:w="100"/>
            </w:tcMar>
          </w:tcPr>
          <w:p>
            <w:r>
              <w:rPr>
                <w:b w:val="false"/>
                <w:bCs w:val="false"/>
                <w:i w:val="false"/>
                <w:iCs w:val="false"/>
                <w:sz w:val="19"/>
                <w:szCs w:val="19"/>
              </w:rPr>
              <w:t xml:space="preserve">390 (78 %) — test suspendu pendant les congés de la professionnelle formée</w:t>
            </w:r>
          </w:p>
        </w:tc>
        <w:tc>
          <w:tcPr>
            <w:tcW w:type="dxa" w:w="1900"/>
            <w:tcMar>
              <w:top w:type="dxa" w:w="60"/>
              <w:left w:type="dxa" w:w="100"/>
              <w:bottom w:type="dxa" w:w="60"/>
              <w:right w:type="dxa" w:w="100"/>
            </w:tcMar>
          </w:tcPr>
          <w:p>
            <w:r>
              <w:rPr>
                <w:b w:val="false"/>
                <w:bCs w:val="false"/>
                <w:i w:val="false"/>
                <w:iCs w:val="false"/>
                <w:sz w:val="19"/>
                <w:szCs w:val="19"/>
              </w:rPr>
              <w:t xml:space="preserve">1</w:t>
            </w:r>
          </w:p>
        </w:tc>
        <w:tc>
          <w:tcPr>
            <w:tcW w:type="dxa" w:w="1700"/>
            <w:tcMar>
              <w:top w:type="dxa" w:w="60"/>
              <w:left w:type="dxa" w:w="100"/>
              <w:bottom w:type="dxa" w:w="60"/>
              <w:right w:type="dxa" w:w="100"/>
            </w:tcMar>
          </w:tcPr>
          <w:p>
            <w:r>
              <w:rPr>
                <w:b w:val="false"/>
                <w:bCs w:val="false"/>
                <w:i w:val="false"/>
                <w:iCs w:val="false"/>
                <w:sz w:val="19"/>
                <w:szCs w:val="19"/>
              </w:rPr>
              <w:t xml:space="preserve">plus élevée</w:t>
            </w:r>
          </w:p>
        </w:tc>
        <w:tc>
          <w:tcPr>
            <w:tcW w:type="dxa" w:w="1226"/>
            <w:tcMar>
              <w:top w:type="dxa" w:w="60"/>
              <w:left w:type="dxa" w:w="100"/>
              <w:bottom w:type="dxa" w:w="60"/>
              <w:right w:type="dxa" w:w="100"/>
            </w:tcMar>
          </w:tcPr>
          <w:p>
            <w:r>
              <w:rPr>
                <w:b w:val="false"/>
                <w:bCs w:val="false"/>
                <w:i w:val="false"/>
                <w:iCs w:val="false"/>
                <w:sz w:val="19"/>
                <w:szCs w:val="19"/>
              </w:rPr>
              <w:t xml:space="preserve">38 %</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File active des consultations dédiées aux MNT (district)</w:t>
            </w:r>
          </w:p>
        </w:tc>
        <w:tc>
          <w:tcPr>
            <w:tcW w:type="dxa" w:w="5626"/>
            <w:tcMar>
              <w:top w:type="dxa" w:w="60"/>
              <w:left w:type="dxa" w:w="100"/>
              <w:bottom w:type="dxa" w:w="60"/>
              <w:right w:type="dxa" w:w="100"/>
            </w:tcMar>
          </w:tcPr>
          <w:p>
            <w:r>
              <w:rPr>
                <w:b w:val="false"/>
                <w:bCs w:val="false"/>
                <w:i w:val="false"/>
                <w:iCs w:val="false"/>
                <w:sz w:val="19"/>
                <w:szCs w:val="19"/>
              </w:rPr>
              <w:t xml:space="preserve">1 240 personnes suivies en consultation dédiée aux maladies non transmissibles (hôpital et centres), dont aucune ventilation disponible pour les femmes dépistées pendant la grossesse.</w:t>
            </w:r>
          </w:p>
        </w:tc>
      </w:tr>
    </w:tbl>
    <w:p/>
    <w:p>
      <w:pPr>
        <w:pStyle w:val="Heading3"/>
        <w:spacing w:after="100" w:before="180"/>
      </w:pPr>
      <w:r>
        <w:t xml:space="preserve">Notes de lecture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rPr>
          <w:tblHeader/>
        </w:trPr>
        <w:tc>
          <w:tcPr>
            <w:tcW w:type="dxa" w:w="1000"/>
            <w:shd w:fill="E8EDF2" w:color="auto" w:val="clear"/>
            <w:tcMar>
              <w:top w:type="dxa" w:w="60"/>
              <w:left w:type="dxa" w:w="100"/>
              <w:bottom w:type="dxa" w:w="60"/>
              <w:right w:type="dxa" w:w="100"/>
            </w:tcMar>
          </w:tcPr>
          <w:p>
            <w:r>
              <w:rPr>
                <w:b/>
                <w:bCs/>
                <w:i w:val="false"/>
                <w:iCs w:val="false"/>
                <w:sz w:val="19"/>
                <w:szCs w:val="19"/>
              </w:rPr>
              <w:t xml:space="preserve">Centre</w:t>
            </w:r>
          </w:p>
        </w:tc>
        <w:tc>
          <w:tcPr>
            <w:tcW w:type="dxa" w:w="8026"/>
            <w:shd w:fill="E8EDF2" w:color="auto" w:val="clear"/>
            <w:tcMar>
              <w:top w:type="dxa" w:w="60"/>
              <w:left w:type="dxa" w:w="100"/>
              <w:bottom w:type="dxa" w:w="60"/>
              <w:right w:type="dxa" w:w="100"/>
            </w:tcMar>
          </w:tcPr>
          <w:p>
            <w:r>
              <w:rPr>
                <w:b/>
                <w:bCs/>
                <w:i w:val="false"/>
                <w:iCs w:val="false"/>
                <w:sz w:val="19"/>
                <w:szCs w:val="19"/>
              </w:rPr>
              <w:t xml:space="preserve">Note</w:t>
            </w:r>
          </w:p>
        </w:tc>
      </w:tr>
      <w:tr>
        <w:trPr>
          <w:tblHeader w:val="off"/>
        </w:trPr>
        <w:tc>
          <w:tcPr>
            <w:tcW w:type="dxa" w:w="1000"/>
            <w:tcMar>
              <w:top w:type="dxa" w:w="60"/>
              <w:left w:type="dxa" w:w="100"/>
              <w:bottom w:type="dxa" w:w="60"/>
              <w:right w:type="dxa" w:w="100"/>
            </w:tcMar>
          </w:tcPr>
          <w:p>
            <w:r>
              <w:rPr>
                <w:b w:val="false"/>
                <w:bCs w:val="false"/>
                <w:i w:val="false"/>
                <w:iCs w:val="false"/>
                <w:sz w:val="19"/>
                <w:szCs w:val="19"/>
              </w:rPr>
              <w:t xml:space="preserve">CS09</w:t>
            </w:r>
          </w:p>
        </w:tc>
        <w:tc>
          <w:tcPr>
            <w:tcW w:type="dxa" w:w="8026"/>
            <w:tcMar>
              <w:top w:type="dxa" w:w="60"/>
              <w:left w:type="dxa" w:w="100"/>
              <w:bottom w:type="dxa" w:w="60"/>
              <w:right w:type="dxa" w:w="100"/>
            </w:tcMar>
          </w:tcPr>
          <w:p>
            <w:r>
              <w:rPr>
                <w:b w:val="false"/>
                <w:bCs w:val="false"/>
                <w:i w:val="false"/>
                <w:iCs w:val="false"/>
                <w:sz w:val="19"/>
                <w:szCs w:val="19"/>
              </w:rPr>
              <w:t xml:space="preserve">Centre ouvert en cours d'année : données partielles (avril à décembre).</w:t>
            </w:r>
          </w:p>
        </w:tc>
      </w:tr>
      <w:tr>
        <w:trPr>
          <w:tblHeader w:val="off"/>
        </w:trPr>
        <w:tc>
          <w:tcPr>
            <w:tcW w:type="dxa" w:w="1000"/>
            <w:tcMar>
              <w:top w:type="dxa" w:w="60"/>
              <w:left w:type="dxa" w:w="100"/>
              <w:bottom w:type="dxa" w:w="60"/>
              <w:right w:type="dxa" w:w="100"/>
            </w:tcMar>
          </w:tcPr>
          <w:p>
            <w:r>
              <w:rPr>
                <w:b w:val="false"/>
                <w:bCs w:val="false"/>
                <w:i w:val="false"/>
                <w:iCs w:val="false"/>
                <w:sz w:val="19"/>
                <w:szCs w:val="19"/>
              </w:rPr>
              <w:t xml:space="preserve">CS10</w:t>
            </w:r>
          </w:p>
        </w:tc>
        <w:tc>
          <w:tcPr>
            <w:tcW w:type="dxa" w:w="8026"/>
            <w:tcMar>
              <w:top w:type="dxa" w:w="60"/>
              <w:left w:type="dxa" w:w="100"/>
              <w:bottom w:type="dxa" w:w="60"/>
              <w:right w:type="dxa" w:w="100"/>
            </w:tcMar>
          </w:tcPr>
          <w:p>
            <w:r>
              <w:rPr>
                <w:b w:val="false"/>
                <w:bCs w:val="false"/>
                <w:i w:val="false"/>
                <w:iCs w:val="false"/>
                <w:sz w:val="19"/>
                <w:szCs w:val="19"/>
              </w:rPr>
              <w:t xml:space="preserve">Population mobile : une part des femmes inscrites a poursuivi son suivi dans un autre centre ; le taux de CPN4 ne mesure pas ici la qualité du suivi.</w:t>
            </w:r>
          </w:p>
        </w:tc>
      </w:tr>
      <w:tr>
        <w:trPr>
          <w:tblHeader w:val="off"/>
        </w:trPr>
        <w:tc>
          <w:tcPr>
            <w:tcW w:type="dxa" w:w="1000"/>
            <w:tcMar>
              <w:top w:type="dxa" w:w="60"/>
              <w:left w:type="dxa" w:w="100"/>
              <w:bottom w:type="dxa" w:w="60"/>
              <w:right w:type="dxa" w:w="100"/>
            </w:tcMar>
          </w:tcPr>
          <w:p>
            <w:r>
              <w:rPr>
                <w:b w:val="false"/>
                <w:bCs w:val="false"/>
                <w:i w:val="false"/>
                <w:iCs w:val="false"/>
                <w:sz w:val="19"/>
                <w:szCs w:val="19"/>
              </w:rPr>
              <w:t xml:space="preserve">CS11</w:t>
            </w:r>
          </w:p>
        </w:tc>
        <w:tc>
          <w:tcPr>
            <w:tcW w:type="dxa" w:w="8026"/>
            <w:tcMar>
              <w:top w:type="dxa" w:w="60"/>
              <w:left w:type="dxa" w:w="100"/>
              <w:bottom w:type="dxa" w:w="60"/>
              <w:right w:type="dxa" w:w="100"/>
            </w:tcMar>
          </w:tcPr>
          <w:p>
            <w:r>
              <w:rPr>
                <w:b w:val="false"/>
                <w:bCs w:val="false"/>
                <w:i w:val="false"/>
                <w:iCs w:val="false"/>
                <w:sz w:val="19"/>
                <w:szCs w:val="19"/>
              </w:rPr>
              <w:t xml:space="preserve">Références non tracées au centre : la valeur sous-estime probablement le nombre réel.</w:t>
            </w:r>
          </w:p>
        </w:tc>
      </w:tr>
      <w:tr>
        <w:trPr>
          <w:tblHeader w:val="off"/>
        </w:trPr>
        <w:tc>
          <w:tcPr>
            <w:tcW w:type="dxa" w:w="1000"/>
            <w:tcMar>
              <w:top w:type="dxa" w:w="60"/>
              <w:left w:type="dxa" w:w="100"/>
              <w:bottom w:type="dxa" w:w="60"/>
              <w:right w:type="dxa" w:w="100"/>
            </w:tcMar>
          </w:tcPr>
          <w:p>
            <w:r>
              <w:rPr>
                <w:b w:val="false"/>
                <w:bCs w:val="false"/>
                <w:i w:val="false"/>
                <w:iCs w:val="false"/>
                <w:sz w:val="19"/>
                <w:szCs w:val="19"/>
              </w:rPr>
              <w:t xml:space="preserve">CS13</w:t>
            </w:r>
          </w:p>
        </w:tc>
        <w:tc>
          <w:tcPr>
            <w:tcW w:type="dxa" w:w="8026"/>
            <w:tcMar>
              <w:top w:type="dxa" w:w="60"/>
              <w:left w:type="dxa" w:w="100"/>
              <w:bottom w:type="dxa" w:w="60"/>
              <w:right w:type="dxa" w:w="100"/>
            </w:tcMar>
          </w:tcPr>
          <w:p>
            <w:r>
              <w:rPr>
                <w:b w:val="false"/>
                <w:bCs w:val="false"/>
                <w:i w:val="false"/>
                <w:iCs w:val="false"/>
                <w:sz w:val="19"/>
                <w:szCs w:val="19"/>
              </w:rPr>
              <w:t xml:space="preserve">Taux de CPN4 (93 %) nettement supérieur au reste du district : à lire avec la réserve de qualité ci-dessous.</w:t>
            </w:r>
          </w:p>
        </w:tc>
      </w:tr>
    </w:tbl>
    <w:p/>
    <w:p>
      <w:pPr>
        <w:rPr>
          <w:i/>
          <w:iCs/>
          <w:sz w:val="19"/>
          <w:szCs w:val="19"/>
        </w:rPr>
      </w:pPr>
      <w:r>
        <w:rPr>
          <w:i/>
          <w:iCs/>
          <w:sz w:val="19"/>
          <w:szCs w:val="19"/>
        </w:rPr>
        <w:t xml:space="preserve">Réserve de qualité (annexe 9 du protocole) : les indicateurs relatifs au nombre de visites prénatales présentent, dans le système d'information sanitaire rwandais, une concordance faible avec les registres, avec tendance à la surdéclaration. Les valeurs servent à caractériser le contexte, non à mesurer la pratique de dépistage.</w:t>
      </w:r>
    </w:p>
    <w:p/>
    <w:p>
      <w:pPr>
        <w:pStyle w:val="Heading3"/>
        <w:spacing w:after="100" w:before="180"/>
      </w:pPr>
      <w:r>
        <w:t xml:space="preserve">Repères réels (sources vérifiables)</w:t>
      </w:r>
    </w:p>
    <w:p>
      <w:pPr>
        <w:rPr>
          <w:i/>
          <w:iCs/>
          <w:sz w:val="19"/>
          <w:szCs w:val="19"/>
        </w:rPr>
      </w:pPr>
      <w:r>
        <w:rPr>
          <w:i/>
          <w:iCs/>
          <w:sz w:val="19"/>
          <w:szCs w:val="19"/>
        </w:rPr>
        <w:t xml:space="preserve">Les valeurs ci-dessus ont été calées sur ces données publiées : 10 060 premières CPN pour les 15 centres (environ 11 800 naissances attendues par an dans le district, CPN assurée par les seuls centres de santé), 74 % de quatrièmes visites, premier contact au premier trimestre et pauvreté sectorielle répartis autour des valeurs de la province de l'Est et du district. Contrairement au reste de l'annexe, chaque ligne de ce tableau est réelle et vérifiable dans sa source.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426"/>
      </w:tblGrid>
      <w:tr>
        <w:trPr>
          <w:tblHeader/>
        </w:trPr>
        <w:tc>
          <w:tcPr>
            <w:tcW w:type="dxa" w:w="2600"/>
            <w:shd w:fill="E8EDF2" w:color="auto" w:val="clear"/>
            <w:tcMar>
              <w:top w:type="dxa" w:w="60"/>
              <w:left w:type="dxa" w:w="100"/>
              <w:bottom w:type="dxa" w:w="60"/>
              <w:right w:type="dxa" w:w="100"/>
            </w:tcMar>
          </w:tcPr>
          <w:p>
            <w:r>
              <w:rPr>
                <w:b/>
                <w:bCs/>
                <w:i w:val="false"/>
                <w:iCs w:val="false"/>
                <w:sz w:val="19"/>
                <w:szCs w:val="19"/>
              </w:rPr>
              <w:t xml:space="preserve">Repère</w:t>
            </w:r>
          </w:p>
        </w:tc>
        <w:tc>
          <w:tcPr>
            <w:tcW w:type="dxa" w:w="3000"/>
            <w:shd w:fill="E8EDF2" w:color="auto" w:val="clear"/>
            <w:tcMar>
              <w:top w:type="dxa" w:w="60"/>
              <w:left w:type="dxa" w:w="100"/>
              <w:bottom w:type="dxa" w:w="60"/>
              <w:right w:type="dxa" w:w="100"/>
            </w:tcMar>
          </w:tcPr>
          <w:p>
            <w:r>
              <w:rPr>
                <w:b/>
                <w:bCs/>
                <w:i w:val="false"/>
                <w:iCs w:val="false"/>
                <w:sz w:val="19"/>
                <w:szCs w:val="19"/>
              </w:rPr>
              <w:t xml:space="preserve">Valeur publiée</w:t>
            </w:r>
          </w:p>
        </w:tc>
        <w:tc>
          <w:tcPr>
            <w:tcW w:type="dxa" w:w="3426"/>
            <w:shd w:fill="E8EDF2" w:color="auto" w:val="clear"/>
            <w:tcMar>
              <w:top w:type="dxa" w:w="60"/>
              <w:left w:type="dxa" w:w="100"/>
              <w:bottom w:type="dxa" w:w="60"/>
              <w:right w:type="dxa" w:w="100"/>
            </w:tcMar>
          </w:tcPr>
          <w:p>
            <w:r>
              <w:rPr>
                <w:b/>
                <w:bCs/>
                <w:i w:val="false"/>
                <w:iCs w:val="false"/>
                <w:sz w:val="19"/>
                <w:szCs w:val="19"/>
              </w:rPr>
              <w:t xml:space="preserve">Source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Population du district de Ngoma (2022)</w:t>
            </w:r>
          </w:p>
        </w:tc>
        <w:tc>
          <w:tcPr>
            <w:tcW w:type="dxa" w:w="3000"/>
            <w:tcMar>
              <w:top w:type="dxa" w:w="60"/>
              <w:left w:type="dxa" w:w="100"/>
              <w:bottom w:type="dxa" w:w="60"/>
              <w:right w:type="dxa" w:w="100"/>
            </w:tcMar>
          </w:tcPr>
          <w:p>
            <w:r>
              <w:rPr>
                <w:b w:val="false"/>
                <w:bCs w:val="false"/>
                <w:i w:val="false"/>
                <w:iCs w:val="false"/>
                <w:sz w:val="19"/>
                <w:szCs w:val="19"/>
              </w:rPr>
              <w:t xml:space="preserve">404 048 habitants, 14 secteurs, 90,8 % rurale</w:t>
            </w:r>
          </w:p>
        </w:tc>
        <w:tc>
          <w:tcPr>
            <w:tcW w:type="dxa" w:w="3426"/>
            <w:tcMar>
              <w:top w:type="dxa" w:w="60"/>
              <w:left w:type="dxa" w:w="100"/>
              <w:bottom w:type="dxa" w:w="60"/>
              <w:right w:type="dxa" w:w="100"/>
            </w:tcMar>
          </w:tcPr>
          <w:p>
            <w:r>
              <w:rPr>
                <w:b w:val="false"/>
                <w:bCs w:val="false"/>
                <w:i w:val="false"/>
                <w:iCs w:val="false"/>
                <w:sz w:val="19"/>
                <w:szCs w:val="19"/>
              </w:rPr>
              <w:t xml:space="preserve">NISR, 5e recensement général de la population et de l'habitat 2022, profil du district de Ngoma (statistics.gov.rw)</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Pauvreté (EICV7, 2023-2024)</w:t>
            </w:r>
          </w:p>
        </w:tc>
        <w:tc>
          <w:tcPr>
            <w:tcW w:type="dxa" w:w="3000"/>
            <w:tcMar>
              <w:top w:type="dxa" w:w="60"/>
              <w:left w:type="dxa" w:w="100"/>
              <w:bottom w:type="dxa" w:w="60"/>
              <w:right w:type="dxa" w:w="100"/>
            </w:tcMar>
          </w:tcPr>
          <w:p>
            <w:r>
              <w:rPr>
                <w:b w:val="false"/>
                <w:bCs w:val="false"/>
                <w:i w:val="false"/>
                <w:iCs w:val="false"/>
                <w:sz w:val="19"/>
                <w:szCs w:val="19"/>
              </w:rPr>
              <w:t xml:space="preserve">Ngoma 30,2 % ; Rwanda 27,4 %</w:t>
            </w:r>
          </w:p>
        </w:tc>
        <w:tc>
          <w:tcPr>
            <w:tcW w:type="dxa" w:w="3426"/>
            <w:tcMar>
              <w:top w:type="dxa" w:w="60"/>
              <w:left w:type="dxa" w:w="100"/>
              <w:bottom w:type="dxa" w:w="60"/>
              <w:right w:type="dxa" w:w="100"/>
            </w:tcMar>
          </w:tcPr>
          <w:p>
            <w:r>
              <w:rPr>
                <w:b w:val="false"/>
                <w:bCs w:val="false"/>
                <w:i w:val="false"/>
                <w:iCs w:val="false"/>
                <w:sz w:val="19"/>
                <w:szCs w:val="19"/>
              </w:rPr>
              <w:t xml:space="preserve">NISR, EICV7, profil de pauvreté et présentation du district de Ngoma (statistics.gov.rw)</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Formations sanitaires du district (2023-2024)</w:t>
            </w:r>
          </w:p>
        </w:tc>
        <w:tc>
          <w:tcPr>
            <w:tcW w:type="dxa" w:w="3000"/>
            <w:tcMar>
              <w:top w:type="dxa" w:w="60"/>
              <w:left w:type="dxa" w:w="100"/>
              <w:bottom w:type="dxa" w:w="60"/>
              <w:right w:type="dxa" w:w="100"/>
            </w:tcMar>
          </w:tcPr>
          <w:p>
            <w:r>
              <w:rPr>
                <w:b w:val="false"/>
                <w:bCs w:val="false"/>
                <w:i w:val="false"/>
                <w:iCs w:val="false"/>
                <w:sz w:val="19"/>
                <w:szCs w:val="19"/>
              </w:rPr>
              <w:t xml:space="preserve">44 formations sanitaires : 41 publiques, 3 privées</w:t>
            </w:r>
          </w:p>
        </w:tc>
        <w:tc>
          <w:tcPr>
            <w:tcW w:type="dxa" w:w="3426"/>
            <w:tcMar>
              <w:top w:type="dxa" w:w="60"/>
              <w:left w:type="dxa" w:w="100"/>
              <w:bottom w:type="dxa" w:w="60"/>
              <w:right w:type="dxa" w:w="100"/>
            </w:tcMar>
          </w:tcPr>
          <w:p>
            <w:r>
              <w:rPr>
                <w:b w:val="false"/>
                <w:bCs w:val="false"/>
                <w:i w:val="false"/>
                <w:iCs w:val="false"/>
                <w:sz w:val="19"/>
                <w:szCs w:val="19"/>
              </w:rPr>
              <w:t xml:space="preserve">Ministère de la Santé, Annual Health Statistical Booklet FY 2023-2024 (moh.gov.rw)</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Hôpital de référence du district</w:t>
            </w:r>
          </w:p>
        </w:tc>
        <w:tc>
          <w:tcPr>
            <w:tcW w:type="dxa" w:w="3000"/>
            <w:tcMar>
              <w:top w:type="dxa" w:w="60"/>
              <w:left w:type="dxa" w:w="100"/>
              <w:bottom w:type="dxa" w:w="60"/>
              <w:right w:type="dxa" w:w="100"/>
            </w:tcMar>
          </w:tcPr>
          <w:p>
            <w:r>
              <w:rPr>
                <w:b w:val="false"/>
                <w:bCs w:val="false"/>
                <w:i w:val="false"/>
                <w:iCs w:val="false"/>
                <w:sz w:val="19"/>
                <w:szCs w:val="19"/>
              </w:rPr>
              <w:t xml:space="preserve">Kibungo Level Two Teaching Hospital, 312 lits</w:t>
            </w:r>
          </w:p>
        </w:tc>
        <w:tc>
          <w:tcPr>
            <w:tcW w:type="dxa" w:w="3426"/>
            <w:tcMar>
              <w:top w:type="dxa" w:w="60"/>
              <w:left w:type="dxa" w:w="100"/>
              <w:bottom w:type="dxa" w:w="60"/>
              <w:right w:type="dxa" w:w="100"/>
            </w:tcMar>
          </w:tcPr>
          <w:p>
            <w:r>
              <w:rPr>
                <w:b w:val="false"/>
                <w:bCs w:val="false"/>
                <w:i w:val="false"/>
                <w:iCs w:val="false"/>
                <w:sz w:val="19"/>
                <w:szCs w:val="19"/>
              </w:rPr>
              <w:t xml:space="preserve">Site de l'hôpital (krh.gov.rw/about/overview)</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Taux brut de natalité (Est, EDS 2025)</w:t>
            </w:r>
          </w:p>
        </w:tc>
        <w:tc>
          <w:tcPr>
            <w:tcW w:type="dxa" w:w="3000"/>
            <w:tcMar>
              <w:top w:type="dxa" w:w="60"/>
              <w:left w:type="dxa" w:w="100"/>
              <w:bottom w:type="dxa" w:w="60"/>
              <w:right w:type="dxa" w:w="100"/>
            </w:tcMar>
          </w:tcPr>
          <w:p>
            <w:r>
              <w:rPr>
                <w:b w:val="false"/>
                <w:bCs w:val="false"/>
                <w:i w:val="false"/>
                <w:iCs w:val="false"/>
                <w:sz w:val="19"/>
                <w:szCs w:val="19"/>
              </w:rPr>
              <w:t xml:space="preserve">29,3 ‰, soit environ 11 800 naissances par an à Ngoma</w:t>
            </w:r>
          </w:p>
        </w:tc>
        <w:tc>
          <w:tcPr>
            <w:tcW w:type="dxa" w:w="3426"/>
            <w:tcMar>
              <w:top w:type="dxa" w:w="60"/>
              <w:left w:type="dxa" w:w="100"/>
              <w:bottom w:type="dxa" w:w="60"/>
              <w:right w:type="dxa" w:w="100"/>
            </w:tcMar>
          </w:tcPr>
          <w:p>
            <w:r>
              <w:rPr>
                <w:b w:val="false"/>
                <w:bCs w:val="false"/>
                <w:i w:val="false"/>
                <w:iCs w:val="false"/>
                <w:sz w:val="19"/>
                <w:szCs w:val="19"/>
              </w:rPr>
              <w:t xml:space="preserve">NISR, MOH, ICF, EDS 2025 (API DHS, indicateur FE_FRTR_W_CBR)</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CPN auprès d'un prestataire qualifié (Est, EDS 2025)</w:t>
            </w:r>
          </w:p>
        </w:tc>
        <w:tc>
          <w:tcPr>
            <w:tcW w:type="dxa" w:w="3000"/>
            <w:tcMar>
              <w:top w:type="dxa" w:w="60"/>
              <w:left w:type="dxa" w:w="100"/>
              <w:bottom w:type="dxa" w:w="60"/>
              <w:right w:type="dxa" w:w="100"/>
            </w:tcMar>
          </w:tcPr>
          <w:p>
            <w:r>
              <w:rPr>
                <w:b w:val="false"/>
                <w:bCs w:val="false"/>
                <w:i w:val="false"/>
                <w:iCs w:val="false"/>
                <w:sz w:val="19"/>
                <w:szCs w:val="19"/>
              </w:rPr>
              <w:t xml:space="preserve">95,3 %</w:t>
            </w:r>
          </w:p>
        </w:tc>
        <w:tc>
          <w:tcPr>
            <w:tcW w:type="dxa" w:w="3426"/>
            <w:tcMar>
              <w:top w:type="dxa" w:w="60"/>
              <w:left w:type="dxa" w:w="100"/>
              <w:bottom w:type="dxa" w:w="60"/>
              <w:right w:type="dxa" w:w="100"/>
            </w:tcMar>
          </w:tcPr>
          <w:p>
            <w:r>
              <w:rPr>
                <w:b w:val="false"/>
                <w:bCs w:val="false"/>
                <w:i w:val="false"/>
                <w:iCs w:val="false"/>
                <w:sz w:val="19"/>
                <w:szCs w:val="19"/>
              </w:rPr>
              <w:t xml:space="preserve">EDS 2025 (RH_ANCP_W_SKP)</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Au moins 4 visites prénatales</w:t>
            </w:r>
          </w:p>
        </w:tc>
        <w:tc>
          <w:tcPr>
            <w:tcW w:type="dxa" w:w="3000"/>
            <w:tcMar>
              <w:top w:type="dxa" w:w="60"/>
              <w:left w:type="dxa" w:w="100"/>
              <w:bottom w:type="dxa" w:w="60"/>
              <w:right w:type="dxa" w:w="100"/>
            </w:tcMar>
          </w:tcPr>
          <w:p>
            <w:r>
              <w:rPr>
                <w:b w:val="false"/>
                <w:bCs w:val="false"/>
                <w:i w:val="false"/>
                <w:iCs w:val="false"/>
                <w:sz w:val="19"/>
                <w:szCs w:val="19"/>
              </w:rPr>
              <w:t xml:space="preserve">Est : 45,9 % (2019-20) → 77,4 % (2025) ; Rwanda 2025 : 73,7 % (plus pauvres) à 81,3 % (plus riches)</w:t>
            </w:r>
          </w:p>
        </w:tc>
        <w:tc>
          <w:tcPr>
            <w:tcW w:type="dxa" w:w="3426"/>
            <w:tcMar>
              <w:top w:type="dxa" w:w="60"/>
              <w:left w:type="dxa" w:w="100"/>
              <w:bottom w:type="dxa" w:w="60"/>
              <w:right w:type="dxa" w:w="100"/>
            </w:tcMar>
          </w:tcPr>
          <w:p>
            <w:r>
              <w:rPr>
                <w:b w:val="false"/>
                <w:bCs w:val="false"/>
                <w:i w:val="false"/>
                <w:iCs w:val="false"/>
                <w:sz w:val="19"/>
                <w:szCs w:val="19"/>
              </w:rPr>
              <w:t xml:space="preserve">EDS 2019-20 et 2025 (RH_ANCN_W_N4P)</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Première visite avant le 4e mois</w:t>
            </w:r>
          </w:p>
        </w:tc>
        <w:tc>
          <w:tcPr>
            <w:tcW w:type="dxa" w:w="3000"/>
            <w:tcMar>
              <w:top w:type="dxa" w:w="60"/>
              <w:left w:type="dxa" w:w="100"/>
              <w:bottom w:type="dxa" w:w="60"/>
              <w:right w:type="dxa" w:w="100"/>
            </w:tcMar>
          </w:tcPr>
          <w:p>
            <w:r>
              <w:rPr>
                <w:b w:val="false"/>
                <w:bCs w:val="false"/>
                <w:i w:val="false"/>
                <w:iCs w:val="false"/>
                <w:sz w:val="19"/>
                <w:szCs w:val="19"/>
              </w:rPr>
              <w:t xml:space="preserve">Est : 58,1 % (2019-20) → 66,5 % (2025) ; Rwanda 2025 : 63,2 % (plus pauvres) à 76,0 % (plus riches)</w:t>
            </w:r>
          </w:p>
        </w:tc>
        <w:tc>
          <w:tcPr>
            <w:tcW w:type="dxa" w:w="3426"/>
            <w:tcMar>
              <w:top w:type="dxa" w:w="60"/>
              <w:left w:type="dxa" w:w="100"/>
              <w:bottom w:type="dxa" w:w="60"/>
              <w:right w:type="dxa" w:w="100"/>
            </w:tcMar>
          </w:tcPr>
          <w:p>
            <w:r>
              <w:rPr>
                <w:b w:val="false"/>
                <w:bCs w:val="false"/>
                <w:i w:val="false"/>
                <w:iCs w:val="false"/>
                <w:sz w:val="19"/>
                <w:szCs w:val="19"/>
              </w:rPr>
              <w:t xml:space="preserve">EDS 2019-20 et 2025 (RH_ANCT_W_TL4)</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Tension mesurée / prise de sang en CPN (Est, 2025)</w:t>
            </w:r>
          </w:p>
        </w:tc>
        <w:tc>
          <w:tcPr>
            <w:tcW w:type="dxa" w:w="3000"/>
            <w:tcMar>
              <w:top w:type="dxa" w:w="60"/>
              <w:left w:type="dxa" w:w="100"/>
              <w:bottom w:type="dxa" w:w="60"/>
              <w:right w:type="dxa" w:w="100"/>
            </w:tcMar>
          </w:tcPr>
          <w:p>
            <w:r>
              <w:rPr>
                <w:b w:val="false"/>
                <w:bCs w:val="false"/>
                <w:i w:val="false"/>
                <w:iCs w:val="false"/>
                <w:sz w:val="19"/>
                <w:szCs w:val="19"/>
              </w:rPr>
              <w:t xml:space="preserve">93,5 % / 97,9 %</w:t>
            </w:r>
          </w:p>
        </w:tc>
        <w:tc>
          <w:tcPr>
            <w:tcW w:type="dxa" w:w="3426"/>
            <w:tcMar>
              <w:top w:type="dxa" w:w="60"/>
              <w:left w:type="dxa" w:w="100"/>
              <w:bottom w:type="dxa" w:w="60"/>
              <w:right w:type="dxa" w:w="100"/>
            </w:tcMar>
          </w:tcPr>
          <w:p>
            <w:r>
              <w:rPr>
                <w:b w:val="false"/>
                <w:bCs w:val="false"/>
                <w:i w:val="false"/>
                <w:iCs w:val="false"/>
                <w:sz w:val="19"/>
                <w:szCs w:val="19"/>
              </w:rPr>
              <w:t xml:space="preserve">EDS 2025 (RH_ANCS_W_BLP, RH_ANCS_W_BLS)</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Modèle de CPN</w:t>
            </w:r>
          </w:p>
        </w:tc>
        <w:tc>
          <w:tcPr>
            <w:tcW w:type="dxa" w:w="3000"/>
            <w:tcMar>
              <w:top w:type="dxa" w:w="60"/>
              <w:left w:type="dxa" w:w="100"/>
              <w:bottom w:type="dxa" w:w="60"/>
              <w:right w:type="dxa" w:w="100"/>
            </w:tcMar>
          </w:tcPr>
          <w:p>
            <w:r>
              <w:rPr>
                <w:b w:val="false"/>
                <w:bCs w:val="false"/>
                <w:i w:val="false"/>
                <w:iCs w:val="false"/>
                <w:sz w:val="19"/>
                <w:szCs w:val="19"/>
              </w:rPr>
              <w:t xml:space="preserve">Huit contacts : 1er avant 12 semaines, puis 20 et 26 semaines, etc.</w:t>
            </w:r>
          </w:p>
        </w:tc>
        <w:tc>
          <w:tcPr>
            <w:tcW w:type="dxa" w:w="3426"/>
            <w:tcMar>
              <w:top w:type="dxa" w:w="60"/>
              <w:left w:type="dxa" w:w="100"/>
              <w:bottom w:type="dxa" w:w="60"/>
              <w:right w:type="dxa" w:w="100"/>
            </w:tcMar>
          </w:tcPr>
          <w:p>
            <w:r>
              <w:rPr>
                <w:b w:val="false"/>
                <w:bCs w:val="false"/>
                <w:i w:val="false"/>
                <w:iCs w:val="false"/>
                <w:sz w:val="19"/>
                <w:szCs w:val="19"/>
              </w:rPr>
              <w:t xml:space="preserve">RBC, National Antenatal Care Guidelines, 2021</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Affections recherchées à la 1re CPN</w:t>
            </w:r>
          </w:p>
        </w:tc>
        <w:tc>
          <w:tcPr>
            <w:tcW w:type="dxa" w:w="3000"/>
            <w:tcMar>
              <w:top w:type="dxa" w:w="60"/>
              <w:left w:type="dxa" w:w="100"/>
              <w:bottom w:type="dxa" w:w="60"/>
              <w:right w:type="dxa" w:w="100"/>
            </w:tcMar>
          </w:tcPr>
          <w:p>
            <w:r>
              <w:rPr>
                <w:b w:val="false"/>
                <w:bCs w:val="false"/>
                <w:i w:val="false"/>
                <w:iCs w:val="false"/>
                <w:sz w:val="19"/>
                <w:szCs w:val="19"/>
              </w:rPr>
              <w:t xml:space="preserve">Anémie, protéinurie, HTA, diabète, syphilis, etc., cochées au registre de maternité</w:t>
            </w:r>
          </w:p>
        </w:tc>
        <w:tc>
          <w:tcPr>
            <w:tcW w:type="dxa" w:w="3426"/>
            <w:tcMar>
              <w:top w:type="dxa" w:w="60"/>
              <w:left w:type="dxa" w:w="100"/>
              <w:bottom w:type="dxa" w:w="60"/>
              <w:right w:type="dxa" w:w="100"/>
            </w:tcMar>
          </w:tcPr>
          <w:p>
            <w:r>
              <w:rPr>
                <w:b w:val="false"/>
                <w:bCs w:val="false"/>
                <w:i w:val="false"/>
                <w:iCs w:val="false"/>
                <w:sz w:val="19"/>
                <w:szCs w:val="19"/>
              </w:rPr>
              <w:t xml:space="preserve">Schmidt et al., PLoS One 2021, doi:10.1371/journal.pone.0256415</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Relais communautaire</w:t>
            </w:r>
          </w:p>
        </w:tc>
        <w:tc>
          <w:tcPr>
            <w:tcW w:type="dxa" w:w="3000"/>
            <w:tcMar>
              <w:top w:type="dxa" w:w="60"/>
              <w:left w:type="dxa" w:w="100"/>
              <w:bottom w:type="dxa" w:w="60"/>
              <w:right w:type="dxa" w:w="100"/>
            </w:tcMar>
          </w:tcPr>
          <w:p>
            <w:r>
              <w:rPr>
                <w:b w:val="false"/>
                <w:bCs w:val="false"/>
                <w:i w:val="false"/>
                <w:iCs w:val="false"/>
                <w:sz w:val="19"/>
                <w:szCs w:val="19"/>
              </w:rPr>
              <w:t xml:space="preserve">Dans chaque village, un binôme d'agents de santé communautaire et une animatrice de santé maternelle (ASM)</w:t>
            </w:r>
          </w:p>
        </w:tc>
        <w:tc>
          <w:tcPr>
            <w:tcW w:type="dxa" w:w="3426"/>
            <w:tcMar>
              <w:top w:type="dxa" w:w="60"/>
              <w:left w:type="dxa" w:w="100"/>
              <w:bottom w:type="dxa" w:w="60"/>
              <w:right w:type="dxa" w:w="100"/>
            </w:tcMar>
          </w:tcPr>
          <w:p>
            <w:r>
              <w:rPr>
                <w:b w:val="false"/>
                <w:bCs w:val="false"/>
                <w:i w:val="false"/>
                <w:iCs w:val="false"/>
                <w:sz w:val="19"/>
                <w:szCs w:val="19"/>
              </w:rPr>
              <w:t xml:space="preserve">Condo et al., Hum Resour Health 2014, doi:10.1186/1478-4491-12-71</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Financement basé sur la performance (PBF)</w:t>
            </w:r>
          </w:p>
        </w:tc>
        <w:tc>
          <w:tcPr>
            <w:tcW w:type="dxa" w:w="3000"/>
            <w:tcMar>
              <w:top w:type="dxa" w:w="60"/>
              <w:left w:type="dxa" w:w="100"/>
              <w:bottom w:type="dxa" w:w="60"/>
              <w:right w:type="dxa" w:w="100"/>
            </w:tcMar>
          </w:tcPr>
          <w:p>
            <w:r>
              <w:rPr>
                <w:b w:val="false"/>
                <w:bCs w:val="false"/>
                <w:i w:val="false"/>
                <w:iCs w:val="false"/>
                <w:sz w:val="19"/>
                <w:szCs w:val="19"/>
              </w:rPr>
              <w:t xml:space="preserve">Adopté en 2005, évalué dans les centres de santé à partir de 2006 ; indicateurs CPN : 1re CPN précoce, 4 visites</w:t>
            </w:r>
          </w:p>
        </w:tc>
        <w:tc>
          <w:tcPr>
            <w:tcW w:type="dxa" w:w="3426"/>
            <w:tcMar>
              <w:top w:type="dxa" w:w="60"/>
              <w:left w:type="dxa" w:w="100"/>
              <w:bottom w:type="dxa" w:w="60"/>
              <w:right w:type="dxa" w:w="100"/>
            </w:tcMar>
          </w:tcPr>
          <w:p>
            <w:r>
              <w:rPr>
                <w:b w:val="false"/>
                <w:bCs w:val="false"/>
                <w:i w:val="false"/>
                <w:iCs w:val="false"/>
                <w:sz w:val="19"/>
                <w:szCs w:val="19"/>
              </w:rPr>
              <w:t xml:space="preserve">Basinga et al., Lancet 2011, doi:10.1016/S0140-6736(11)60177-3 ; Schmidt et al. 2021</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Niveaux infirmiers</w:t>
            </w:r>
          </w:p>
        </w:tc>
        <w:tc>
          <w:tcPr>
            <w:tcW w:type="dxa" w:w="3000"/>
            <w:tcMar>
              <w:top w:type="dxa" w:w="60"/>
              <w:left w:type="dxa" w:w="100"/>
              <w:bottom w:type="dxa" w:w="60"/>
              <w:right w:type="dxa" w:w="100"/>
            </w:tcMar>
          </w:tcPr>
          <w:p>
            <w:r>
              <w:rPr>
                <w:b w:val="false"/>
                <w:bCs w:val="false"/>
                <w:i w:val="false"/>
                <w:iCs w:val="false"/>
                <w:sz w:val="19"/>
                <w:szCs w:val="19"/>
              </w:rPr>
              <w:t xml:space="preserve">A2 (formation secondaire, arrêtée en 2007), A1 (3 ans), A0 (licence) ; sages-femmes A1 ou A0</w:t>
            </w:r>
          </w:p>
        </w:tc>
        <w:tc>
          <w:tcPr>
            <w:tcW w:type="dxa" w:w="3426"/>
            <w:tcMar>
              <w:top w:type="dxa" w:w="60"/>
              <w:left w:type="dxa" w:w="100"/>
              <w:bottom w:type="dxa" w:w="60"/>
              <w:right w:type="dxa" w:w="100"/>
            </w:tcMar>
          </w:tcPr>
          <w:p>
            <w:r>
              <w:rPr>
                <w:b w:val="false"/>
                <w:bCs w:val="false"/>
                <w:i w:val="false"/>
                <w:iCs w:val="false"/>
                <w:sz w:val="19"/>
                <w:szCs w:val="19"/>
              </w:rPr>
              <w:t xml:space="preserve">Rurangirwa et al., BMC Health Serv Res 2018, doi:10.1186/s12913-018-3694-5</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Norme de personnel d'un centre de santé</w:t>
            </w:r>
          </w:p>
        </w:tc>
        <w:tc>
          <w:tcPr>
            <w:tcW w:type="dxa" w:w="3000"/>
            <w:tcMar>
              <w:top w:type="dxa" w:w="60"/>
              <w:left w:type="dxa" w:w="100"/>
              <w:bottom w:type="dxa" w:w="60"/>
              <w:right w:type="dxa" w:w="100"/>
            </w:tcMar>
          </w:tcPr>
          <w:p>
            <w:r>
              <w:rPr>
                <w:b w:val="false"/>
                <w:bCs w:val="false"/>
                <w:i w:val="false"/>
                <w:iCs w:val="false"/>
                <w:sz w:val="19"/>
                <w:szCs w:val="19"/>
              </w:rPr>
              <w:t xml:space="preserve">21 agents, dont 9 infirmiers et 1 sage-femme</w:t>
            </w:r>
          </w:p>
        </w:tc>
        <w:tc>
          <w:tcPr>
            <w:tcW w:type="dxa" w:w="3426"/>
            <w:tcMar>
              <w:top w:type="dxa" w:w="60"/>
              <w:left w:type="dxa" w:w="100"/>
              <w:bottom w:type="dxa" w:w="60"/>
              <w:right w:type="dxa" w:w="100"/>
            </w:tcMar>
          </w:tcPr>
          <w:p>
            <w:r>
              <w:rPr>
                <w:b w:val="false"/>
                <w:bCs w:val="false"/>
                <w:i w:val="false"/>
                <w:iCs w:val="false"/>
                <w:sz w:val="19"/>
                <w:szCs w:val="19"/>
              </w:rPr>
              <w:t xml:space="preserve">Ministère de la Santé, Health Labour Market Analysis Report (OMS-AFRO)</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Séances d'éducation collective en CPN</w:t>
            </w:r>
          </w:p>
        </w:tc>
        <w:tc>
          <w:tcPr>
            <w:tcW w:type="dxa" w:w="3000"/>
            <w:tcMar>
              <w:top w:type="dxa" w:w="60"/>
              <w:left w:type="dxa" w:w="100"/>
              <w:bottom w:type="dxa" w:w="60"/>
              <w:right w:type="dxa" w:w="100"/>
            </w:tcMar>
          </w:tcPr>
          <w:p>
            <w:r>
              <w:rPr>
                <w:b w:val="false"/>
                <w:bCs w:val="false"/>
                <w:i w:val="false"/>
                <w:iCs w:val="false"/>
                <w:sz w:val="19"/>
                <w:szCs w:val="19"/>
              </w:rPr>
              <w:t xml:space="preserve">2 à 3 séances par semaine dans les centres de santé, réunissant les femmes enceintes présentes, animées par les infirmiers et sages-femmes</w:t>
            </w:r>
          </w:p>
        </w:tc>
        <w:tc>
          <w:tcPr>
            <w:tcW w:type="dxa" w:w="3426"/>
            <w:tcMar>
              <w:top w:type="dxa" w:w="60"/>
              <w:left w:type="dxa" w:w="100"/>
              <w:bottom w:type="dxa" w:w="60"/>
              <w:right w:type="dxa" w:w="100"/>
            </w:tcMar>
          </w:tcPr>
          <w:p>
            <w:r>
              <w:rPr>
                <w:b w:val="false"/>
                <w:bCs w:val="false"/>
                <w:i w:val="false"/>
                <w:iCs w:val="false"/>
                <w:sz w:val="19"/>
                <w:szCs w:val="19"/>
              </w:rPr>
              <w:t xml:space="preserve">Information de terrain fournie par l'auteur du mémoire ; à documenter par l'observation (rubrique ajoutée à la grille)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CPN de groupe (essai national)</w:t>
            </w:r>
          </w:p>
        </w:tc>
        <w:tc>
          <w:tcPr>
            <w:tcW w:type="dxa" w:w="3000"/>
            <w:tcMar>
              <w:top w:type="dxa" w:w="60"/>
              <w:left w:type="dxa" w:w="100"/>
              <w:bottom w:type="dxa" w:w="60"/>
              <w:right w:type="dxa" w:w="100"/>
            </w:tcMar>
          </w:tcPr>
          <w:p>
            <w:r>
              <w:rPr>
                <w:b w:val="false"/>
                <w:bCs w:val="false"/>
                <w:i w:val="false"/>
                <w:iCs w:val="false"/>
                <w:sz w:val="19"/>
                <w:szCs w:val="19"/>
              </w:rPr>
              <w:t xml:space="preserve">8 à 12 femmes par groupe, animation par un prestataire et un agent de santé communautaire ; connaissances et soutien entre pairs accrus</w:t>
            </w:r>
          </w:p>
        </w:tc>
        <w:tc>
          <w:tcPr>
            <w:tcW w:type="dxa" w:w="3426"/>
            <w:tcMar>
              <w:top w:type="dxa" w:w="60"/>
              <w:left w:type="dxa" w:w="100"/>
              <w:bottom w:type="dxa" w:w="60"/>
              <w:right w:type="dxa" w:w="100"/>
            </w:tcMar>
          </w:tcPr>
          <w:p>
            <w:r>
              <w:rPr>
                <w:b w:val="false"/>
                <w:bCs w:val="false"/>
                <w:i w:val="false"/>
                <w:iCs w:val="false"/>
                <w:sz w:val="19"/>
                <w:szCs w:val="19"/>
              </w:rPr>
              <w:t xml:space="preserve">Musabyimana et al., Reprod Health 2019, doi:10.1186/s12978-019-0750-5</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Connaissance des signes de danger</w:t>
            </w:r>
          </w:p>
        </w:tc>
        <w:tc>
          <w:tcPr>
            <w:tcW w:type="dxa" w:w="3000"/>
            <w:tcMar>
              <w:top w:type="dxa" w:w="60"/>
              <w:left w:type="dxa" w:w="100"/>
              <w:bottom w:type="dxa" w:w="60"/>
              <w:right w:type="dxa" w:w="100"/>
            </w:tcMar>
          </w:tcPr>
          <w:p>
            <w:r>
              <w:rPr>
                <w:b w:val="false"/>
                <w:bCs w:val="false"/>
                <w:i w:val="false"/>
                <w:iCs w:val="false"/>
                <w:sz w:val="19"/>
                <w:szCs w:val="19"/>
              </w:rPr>
              <w:t xml:space="preserve">56 % des femmes enceintes connaissaient au moins trois signes de danger de la grossesse (Kigali, 2018) ; meilleure connaissance avec le nombre de CPN</w:t>
            </w:r>
          </w:p>
        </w:tc>
        <w:tc>
          <w:tcPr>
            <w:tcW w:type="dxa" w:w="3426"/>
            <w:tcMar>
              <w:top w:type="dxa" w:w="60"/>
              <w:left w:type="dxa" w:w="100"/>
              <w:bottom w:type="dxa" w:w="60"/>
              <w:right w:type="dxa" w:w="100"/>
            </w:tcMar>
          </w:tcPr>
          <w:p>
            <w:r>
              <w:rPr>
                <w:b w:val="false"/>
                <w:bCs w:val="false"/>
                <w:i w:val="false"/>
                <w:iCs w:val="false"/>
                <w:sz w:val="19"/>
                <w:szCs w:val="19"/>
              </w:rPr>
              <w:t xml:space="preserve">Uwiringiyimana et al., PLOS Glob Public Health 2022, doi:10.1371/journal.pgph.0001084</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Conjoint à la première CPN</w:t>
            </w:r>
          </w:p>
        </w:tc>
        <w:tc>
          <w:tcPr>
            <w:tcW w:type="dxa" w:w="3000"/>
            <w:tcMar>
              <w:top w:type="dxa" w:w="60"/>
              <w:left w:type="dxa" w:w="100"/>
              <w:bottom w:type="dxa" w:w="60"/>
              <w:right w:type="dxa" w:w="100"/>
            </w:tcMar>
          </w:tcPr>
          <w:p>
            <w:r>
              <w:rPr>
                <w:b w:val="false"/>
                <w:bCs w:val="false"/>
                <w:i w:val="false"/>
                <w:iCs w:val="false"/>
                <w:sz w:val="19"/>
                <w:szCs w:val="19"/>
              </w:rPr>
              <w:t xml:space="preserve">Test VIH du couple recommandé à la CPN1 ; perçu comme une obligation, il retarde ou exclut des femmes sans conjoint disponible</w:t>
            </w:r>
          </w:p>
        </w:tc>
        <w:tc>
          <w:tcPr>
            <w:tcW w:type="dxa" w:w="3426"/>
            <w:tcMar>
              <w:top w:type="dxa" w:w="60"/>
              <w:left w:type="dxa" w:w="100"/>
              <w:bottom w:type="dxa" w:w="60"/>
              <w:right w:type="dxa" w:w="100"/>
            </w:tcMar>
          </w:tcPr>
          <w:p>
            <w:r>
              <w:rPr>
                <w:b w:val="false"/>
                <w:bCs w:val="false"/>
                <w:i w:val="false"/>
                <w:iCs w:val="false"/>
                <w:sz w:val="19"/>
                <w:szCs w:val="19"/>
              </w:rPr>
              <w:t xml:space="preserve">Påfs et al., Midwifery 2015, doi:10.1016/j.midw.2015.09.010</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Mutuelle de santé et ubudehe</w:t>
            </w:r>
          </w:p>
        </w:tc>
        <w:tc>
          <w:tcPr>
            <w:tcW w:type="dxa" w:w="3000"/>
            <w:tcMar>
              <w:top w:type="dxa" w:w="60"/>
              <w:left w:type="dxa" w:w="100"/>
              <w:bottom w:type="dxa" w:w="60"/>
              <w:right w:type="dxa" w:w="100"/>
            </w:tcMar>
          </w:tcPr>
          <w:p>
            <w:r>
              <w:rPr>
                <w:b w:val="false"/>
                <w:bCs w:val="false"/>
                <w:i w:val="false"/>
                <w:iCs w:val="false"/>
                <w:sz w:val="19"/>
                <w:szCs w:val="19"/>
              </w:rPr>
              <w:t xml:space="preserve">Primes graduées selon la catégorie socio-économique (ubudehe) ; primes des ménages les plus pauvres payées par l'État ; ticket modérateur au centre de santé</w:t>
            </w:r>
          </w:p>
        </w:tc>
        <w:tc>
          <w:tcPr>
            <w:tcW w:type="dxa" w:w="3426"/>
            <w:tcMar>
              <w:top w:type="dxa" w:w="60"/>
              <w:left w:type="dxa" w:w="100"/>
              <w:bottom w:type="dxa" w:w="60"/>
              <w:right w:type="dxa" w:w="100"/>
            </w:tcMar>
          </w:tcPr>
          <w:p>
            <w:r>
              <w:rPr>
                <w:b w:val="false"/>
                <w:bCs w:val="false"/>
                <w:i w:val="false"/>
                <w:iCs w:val="false"/>
                <w:sz w:val="19"/>
                <w:szCs w:val="19"/>
              </w:rPr>
              <w:t xml:space="preserve">RSSB, régime CBHI (rssb.rw/schemes/cbhi-scheme) ; catégories réformées en 2020 : vérifier les montants en vigueur</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Shisha Kibondo</w:t>
            </w:r>
          </w:p>
        </w:tc>
        <w:tc>
          <w:tcPr>
            <w:tcW w:type="dxa" w:w="3000"/>
            <w:tcMar>
              <w:top w:type="dxa" w:w="60"/>
              <w:left w:type="dxa" w:w="100"/>
              <w:bottom w:type="dxa" w:w="60"/>
              <w:right w:type="dxa" w:w="100"/>
            </w:tcMar>
          </w:tcPr>
          <w:p>
            <w:r>
              <w:rPr>
                <w:b w:val="false"/>
                <w:bCs w:val="false"/>
                <w:i w:val="false"/>
                <w:iCs w:val="false"/>
                <w:sz w:val="19"/>
                <w:szCs w:val="19"/>
              </w:rPr>
              <w:t xml:space="preserve">Farine enrichie distribuée aux femmes enceintes et allaitantes des ménages les plus pauvres</w:t>
            </w:r>
          </w:p>
        </w:tc>
        <w:tc>
          <w:tcPr>
            <w:tcW w:type="dxa" w:w="3426"/>
            <w:tcMar>
              <w:top w:type="dxa" w:w="60"/>
              <w:left w:type="dxa" w:w="100"/>
              <w:bottom w:type="dxa" w:w="60"/>
              <w:right w:type="dxa" w:w="100"/>
            </w:tcMar>
          </w:tcPr>
          <w:p>
            <w:r>
              <w:rPr>
                <w:b w:val="false"/>
                <w:bCs w:val="false"/>
                <w:i w:val="false"/>
                <w:iCs w:val="false"/>
                <w:sz w:val="19"/>
                <w:szCs w:val="19"/>
              </w:rPr>
              <w:t xml:space="preserve">Rwanda Biomedical Centre (rbc.gov.rw/wp/?p=7362) ; Clinton Health Access Initiative, 2024</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Signalement par téléphone des ASM</w:t>
            </w:r>
          </w:p>
        </w:tc>
        <w:tc>
          <w:tcPr>
            <w:tcW w:type="dxa" w:w="3000"/>
            <w:tcMar>
              <w:top w:type="dxa" w:w="60"/>
              <w:left w:type="dxa" w:w="100"/>
              <w:bottom w:type="dxa" w:w="60"/>
              <w:right w:type="dxa" w:w="100"/>
            </w:tcMar>
          </w:tcPr>
          <w:p>
            <w:r>
              <w:rPr>
                <w:b w:val="false"/>
                <w:bCs w:val="false"/>
                <w:i w:val="false"/>
                <w:iCs w:val="false"/>
                <w:sz w:val="19"/>
                <w:szCs w:val="19"/>
              </w:rPr>
              <w:t xml:space="preserve">RapidSMS : enregistrement des grossesses et « alerte rouge » déclenchant la demande d'ambulance ; outil communautaire électronique (eCHIS) en cours de déploiement depuis 2023</w:t>
            </w:r>
          </w:p>
        </w:tc>
        <w:tc>
          <w:tcPr>
            <w:tcW w:type="dxa" w:w="3426"/>
            <w:tcMar>
              <w:top w:type="dxa" w:w="60"/>
              <w:left w:type="dxa" w:w="100"/>
              <w:bottom w:type="dxa" w:w="60"/>
              <w:right w:type="dxa" w:w="100"/>
            </w:tcMar>
          </w:tcPr>
          <w:p>
            <w:r>
              <w:rPr>
                <w:b w:val="false"/>
                <w:bCs w:val="false"/>
                <w:i w:val="false"/>
                <w:iCs w:val="false"/>
                <w:sz w:val="19"/>
                <w:szCs w:val="19"/>
              </w:rPr>
              <w:t xml:space="preserve">Ngabo et al., Pan Afr Med J 2012;13:31 (PMC3542808) ; Resolve to Save Lives, 2025</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Umugoroba w'ababyeyi</w:t>
            </w:r>
          </w:p>
        </w:tc>
        <w:tc>
          <w:tcPr>
            <w:tcW w:type="dxa" w:w="3000"/>
            <w:tcMar>
              <w:top w:type="dxa" w:w="60"/>
              <w:left w:type="dxa" w:w="100"/>
              <w:bottom w:type="dxa" w:w="60"/>
              <w:right w:type="dxa" w:w="100"/>
            </w:tcMar>
          </w:tcPr>
          <w:p>
            <w:r>
              <w:rPr>
                <w:b w:val="false"/>
                <w:bCs w:val="false"/>
                <w:i w:val="false"/>
                <w:iCs w:val="false"/>
                <w:sz w:val="19"/>
                <w:szCs w:val="19"/>
              </w:rPr>
              <w:t xml:space="preserve">Forum hebdomadaire des parents dans chaque village : famille, violences, nutrition, planning familial</w:t>
            </w:r>
          </w:p>
        </w:tc>
        <w:tc>
          <w:tcPr>
            <w:tcW w:type="dxa" w:w="3426"/>
            <w:tcMar>
              <w:top w:type="dxa" w:w="60"/>
              <w:left w:type="dxa" w:w="100"/>
              <w:bottom w:type="dxa" w:w="60"/>
              <w:right w:type="dxa" w:w="100"/>
            </w:tcMar>
          </w:tcPr>
          <w:p>
            <w:r>
              <w:rPr>
                <w:b w:val="false"/>
                <w:bCs w:val="false"/>
                <w:i w:val="false"/>
                <w:iCs w:val="false"/>
                <w:sz w:val="19"/>
                <w:szCs w:val="19"/>
              </w:rPr>
              <w:t xml:space="preserve">Nsanzabera et al., Public Health Nutr 2025, doi:10.1017/S1368980025100803 ; MIGEPROF</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Campagnes de dépistage des MNT</w:t>
            </w:r>
          </w:p>
        </w:tc>
        <w:tc>
          <w:tcPr>
            <w:tcW w:type="dxa" w:w="3000"/>
            <w:tcMar>
              <w:top w:type="dxa" w:w="60"/>
              <w:left w:type="dxa" w:w="100"/>
              <w:bottom w:type="dxa" w:w="60"/>
              <w:right w:type="dxa" w:w="100"/>
            </w:tcMar>
          </w:tcPr>
          <w:p>
            <w:r>
              <w:rPr>
                <w:b w:val="false"/>
                <w:bCs w:val="false"/>
                <w:i w:val="false"/>
                <w:iCs w:val="false"/>
                <w:sz w:val="19"/>
                <w:szCs w:val="19"/>
              </w:rPr>
              <w:t xml:space="preserve">Dépistage gratuit (tension, glycémie, IMC) ; à Kigali, 26 % de tensions élevées dont 73 % ignorées, 9 % de glycémies ≥ 1,26 g/l dont 71 % ignorées</w:t>
            </w:r>
          </w:p>
        </w:tc>
        <w:tc>
          <w:tcPr>
            <w:tcW w:type="dxa" w:w="3426"/>
            <w:tcMar>
              <w:top w:type="dxa" w:w="60"/>
              <w:left w:type="dxa" w:w="100"/>
              <w:bottom w:type="dxa" w:w="60"/>
              <w:right w:type="dxa" w:w="100"/>
            </w:tcMar>
          </w:tcPr>
          <w:p>
            <w:r>
              <w:rPr>
                <w:b w:val="false"/>
                <w:bCs w:val="false"/>
                <w:i w:val="false"/>
                <w:iCs w:val="false"/>
                <w:sz w:val="19"/>
                <w:szCs w:val="19"/>
              </w:rPr>
              <w:t xml:space="preserve">Enabel, Be-cause health, Rwanda NCD Mass Campaign, 2019</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Transport d'urgence</w:t>
            </w:r>
          </w:p>
        </w:tc>
        <w:tc>
          <w:tcPr>
            <w:tcW w:type="dxa" w:w="3000"/>
            <w:tcMar>
              <w:top w:type="dxa" w:w="60"/>
              <w:left w:type="dxa" w:w="100"/>
              <w:bottom w:type="dxa" w:w="60"/>
              <w:right w:type="dxa" w:w="100"/>
            </w:tcMar>
          </w:tcPr>
          <w:p>
            <w:r>
              <w:rPr>
                <w:b w:val="false"/>
                <w:bCs w:val="false"/>
                <w:i w:val="false"/>
                <w:iCs w:val="false"/>
                <w:sz w:val="19"/>
                <w:szCs w:val="19"/>
              </w:rPr>
              <w:t xml:space="preserve">Service d'aide médicale urgente (SAMU) créé en 2007, couvert par la mutuelle ; transferts d'urgence du centre de santé vers l'hôpital de district</w:t>
            </w:r>
          </w:p>
        </w:tc>
        <w:tc>
          <w:tcPr>
            <w:tcW w:type="dxa" w:w="3426"/>
            <w:tcMar>
              <w:top w:type="dxa" w:w="60"/>
              <w:left w:type="dxa" w:w="100"/>
              <w:bottom w:type="dxa" w:w="60"/>
              <w:right w:type="dxa" w:w="100"/>
            </w:tcMar>
          </w:tcPr>
          <w:p>
            <w:r>
              <w:rPr>
                <w:b w:val="false"/>
                <w:bCs w:val="false"/>
                <w:i w:val="false"/>
                <w:iCs w:val="false"/>
                <w:sz w:val="19"/>
                <w:szCs w:val="19"/>
              </w:rPr>
              <w:t xml:space="preserve">Étude SAMU Kigali, doi:10.26502/ogr034 ; UNFPA Rwanda</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b/>
      <w:bCs/>
      <w:color w:val="17334F"/>
      <w:sz w:val="30"/>
      <w:szCs w:val="30"/>
    </w:rPr>
  </w:style>
  <w:style w:type="paragraph" w:styleId="Heading2">
    <w:name w:val="Heading 2"/>
    <w:basedOn w:val="Normal"/>
    <w:next w:val="Normal"/>
    <w:qFormat/>
    <w:pPr>
      <w:spacing w:after="120" w:before="260"/>
    </w:pPr>
    <w:rPr>
      <w:b/>
      <w:bCs/>
      <w:color w:val="26567D"/>
      <w:sz w:val="25"/>
      <w:szCs w:val="25"/>
    </w:rPr>
  </w:style>
  <w:style w:type="paragraph" w:styleId="Heading3">
    <w:name w:val="Heading 3"/>
    <w:basedOn w:val="Normal"/>
    <w:next w:val="Normal"/>
    <w:qFormat/>
    <w:pPr>
      <w:spacing w:after="100" w:before="200"/>
    </w:pPr>
    <w:rPr>
      <w:b/>
      <w:bCs/>
      <w:color w:val="2E6DA4"/>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2026-10-03T07:38:07.197Z</dcterms:created>
  <dcterms:modified xsi:type="dcterms:W3CDTF">2026-10-03T07:38:07.197Z</dcterms:modified>
</cp:coreProperties>
</file>

<file path=docProps/custom.xml><?xml version="1.0" encoding="utf-8"?>
<Properties xmlns="http://schemas.openxmlformats.org/officeDocument/2006/custom-properties" xmlns:vt="http://schemas.openxmlformats.org/officeDocument/2006/docPropsVTypes"/>
</file>