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Résultats, rédigé à partir du projet QualiCode « MÉMOIRE NGOMA — MUKAKI DUNIA Jacques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5. RÉSULTATS</w:t>
      </w:r>
    </w:p>
    <w:p>
      <w:pPr>
        <w:spacing w:after="80"/>
        <w:jc w:val="both"/>
      </w:pPr>
      <w:r>
        <w:rPr>
          <w:i w:val="false"/>
          <w:iCs w:val="false"/>
          <w:sz w:val="22"/>
          <w:szCs w:val="22"/>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80"/>
        <w:jc w:val="both"/>
      </w:pPr>
      <w:r>
        <w:rPr>
          <w:i w:val="false"/>
          <w:iCs w:val="false"/>
          <w:sz w:val="22"/>
          <w:szCs w:val="22"/>
        </w:rPr>
        <w:t xml:space="preserve">Conventions de lecture. Chaque extrait est suivi du code du participant et de sa seule qualification (§ 4.2.7). Un effectif désigne le nombre de participants dont au moins un passage a été codé dans la catégorie : il indique l'étendue d'un propos dans le corpus, non une fréquence dans la population. Les propos sur les femmes sont des représentations professionnelles ; les extraits sont des propos notés pendant l'entretien, et ceux qui sont traduits du kinyarwanda sont signalés.</w:t>
      </w:r>
    </w:p>
    <w:p>
      <w:pPr>
        <w:pStyle w:val="Heading2"/>
        <w:spacing w:after="120" w:before="220"/>
      </w:pPr>
      <w:r>
        <w:t xml:space="preserve">5.1. Caractéristiques des participants et des centres</w:t>
      </w:r>
    </w:p>
    <w:p>
      <w:pPr>
        <w:spacing w:after="80"/>
        <w:jc w:val="both"/>
      </w:pPr>
      <w:r>
        <w:rPr>
          <w:i w:val="false"/>
          <w:iCs w:val="false"/>
          <w:sz w:val="22"/>
          <w:szCs w:val="22"/>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sz w:val="20"/>
          <w:szCs w:val="20"/>
        </w:rPr>
        <w:t xml:space="preserve">Tableau IV. Caractéristiques des participants (n =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(effectif)</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infirmier : 6 ; infirmière : 4 ; sage-femme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féminin : 14 ; masculin : 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 (ans)</w:t>
            </w:r>
          </w:p>
        </w:tc>
        <w:tc>
          <w:tcPr>
            <w:tcW w:type="dxa" w:w="6026"/>
            <w:tcMar>
              <w:top w:type="dxa" w:w="60"/>
              <w:left w:type="dxa" w:w="100"/>
              <w:bottom w:type="dxa" w:w="60"/>
              <w:right w:type="dxa" w:w="100"/>
            </w:tcMar>
          </w:tcPr>
          <w:p>
            <w:r>
              <w:rPr>
                <w:b w:val="false"/>
                <w:bCs w:val="false"/>
                <w:i w:val="false"/>
                <w:iCs w:val="false"/>
                <w:sz w:val="19"/>
                <w:szCs w:val="19"/>
              </w:rPr>
              <w:t xml:space="preserve">20-29 : 4 ; 30-39 : 8 ; 40-49 : 6 ; 50 et plus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totale</w:t>
            </w:r>
          </w:p>
        </w:tc>
        <w:tc>
          <w:tcPr>
            <w:tcW w:type="dxa" w:w="6026"/>
            <w:tcMar>
              <w:top w:type="dxa" w:w="60"/>
              <w:left w:type="dxa" w:w="100"/>
              <w:bottom w:type="dxa" w:w="60"/>
              <w:right w:type="dxa" w:w="100"/>
            </w:tcMar>
          </w:tcPr>
          <w:p>
            <w:r>
              <w:rPr>
                <w:b w:val="false"/>
                <w:bCs w:val="false"/>
                <w:i w:val="false"/>
                <w:iCs w:val="false"/>
                <w:sz w:val="19"/>
                <w:szCs w:val="19"/>
              </w:rPr>
              <w:t xml:space="preserve">&lt; 5 ans : 4 ; 5-10 ans : 8 ; &gt; 10 ans : 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CPN</w:t>
            </w:r>
          </w:p>
        </w:tc>
        <w:tc>
          <w:tcPr>
            <w:tcW w:type="dxa" w:w="6026"/>
            <w:tcMar>
              <w:top w:type="dxa" w:w="60"/>
              <w:left w:type="dxa" w:w="100"/>
              <w:bottom w:type="dxa" w:w="60"/>
              <w:right w:type="dxa" w:w="100"/>
            </w:tcMar>
          </w:tcPr>
          <w:p>
            <w:r>
              <w:rPr>
                <w:b w:val="false"/>
                <w:bCs w:val="false"/>
                <w:i w:val="false"/>
                <w:iCs w:val="false"/>
                <w:sz w:val="19"/>
                <w:szCs w:val="19"/>
              </w:rPr>
              <w:t xml:space="preserve">6 mois-2 ans : 6 ; &gt; 2 ans : 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w:t>
            </w:r>
          </w:p>
        </w:tc>
        <w:tc>
          <w:tcPr>
            <w:tcW w:type="dxa" w:w="6026"/>
            <w:tcMar>
              <w:top w:type="dxa" w:w="60"/>
              <w:left w:type="dxa" w:w="100"/>
              <w:bottom w:type="dxa" w:w="60"/>
              <w:right w:type="dxa" w:w="100"/>
            </w:tcMar>
          </w:tcPr>
          <w:p>
            <w:r>
              <w:rPr>
                <w:b w:val="false"/>
                <w:bCs w:val="false"/>
                <w:i w:val="false"/>
                <w:iCs w:val="false"/>
                <w:sz w:val="19"/>
                <w:szCs w:val="19"/>
              </w:rPr>
              <w:t xml:space="preserve">titulaire : 5 ; prestataire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6026"/>
            <w:tcMar>
              <w:top w:type="dxa" w:w="60"/>
              <w:left w:type="dxa" w:w="100"/>
              <w:bottom w:type="dxa" w:w="60"/>
              <w:right w:type="dxa" w:w="100"/>
            </w:tcMar>
          </w:tcPr>
          <w:p>
            <w:r>
              <w:rPr>
                <w:b w:val="false"/>
                <w:bCs w:val="false"/>
                <w:i w:val="false"/>
                <w:iCs w:val="false"/>
                <w:sz w:val="19"/>
                <w:szCs w:val="19"/>
              </w:rPr>
              <w:t xml:space="preserve">oui : 10 ; non : 8 ; ne sait pas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kinyarwanda : 16 ; français : 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Vague de collecte</w:t>
            </w:r>
          </w:p>
        </w:tc>
        <w:tc>
          <w:tcPr>
            <w:tcW w:type="dxa" w:w="6026"/>
            <w:tcMar>
              <w:top w:type="dxa" w:w="60"/>
              <w:left w:type="dxa" w:w="100"/>
              <w:bottom w:type="dxa" w:w="60"/>
              <w:right w:type="dxa" w:w="100"/>
            </w:tcMar>
          </w:tcPr>
          <w:p>
            <w:r>
              <w:rPr>
                <w:b w:val="false"/>
                <w:bCs w:val="false"/>
                <w:i w:val="false"/>
                <w:iCs w:val="false"/>
                <w:sz w:val="19"/>
                <w:szCs w:val="19"/>
              </w:rPr>
              <w:t xml:space="preserve">vague 1 : 10 ; vague 2 : 10</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(nombre de centres)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6026"/>
            <w:tcMar>
              <w:top w:type="dxa" w:w="60"/>
              <w:left w:type="dxa" w:w="100"/>
              <w:bottom w:type="dxa" w:w="60"/>
              <w:right w:type="dxa" w:w="100"/>
            </w:tcMar>
          </w:tcPr>
          <w:p>
            <w:r>
              <w:rPr>
                <w:b w:val="false"/>
                <w:bCs w:val="false"/>
                <w:i w:val="false"/>
                <w:iCs w:val="false"/>
                <w:sz w:val="19"/>
                <w:szCs w:val="19"/>
              </w:rPr>
              <w:t xml:space="preserve">urbain : 4 ; rural périphérique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6026"/>
            <w:tcMar>
              <w:top w:type="dxa" w:w="60"/>
              <w:left w:type="dxa" w:w="100"/>
              <w:bottom w:type="dxa" w:w="60"/>
              <w:right w:type="dxa" w:w="100"/>
            </w:tcMar>
          </w:tcPr>
          <w:p>
            <w:r>
              <w:rPr>
                <w:b w:val="false"/>
                <w:bCs w:val="false"/>
                <w:i w:val="false"/>
                <w:iCs w:val="false"/>
                <w:sz w:val="19"/>
                <w:szCs w:val="19"/>
              </w:rPr>
              <w:t xml:space="preserve">proche : 4 ; éloignée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6026"/>
            <w:tcMar>
              <w:top w:type="dxa" w:w="60"/>
              <w:left w:type="dxa" w:w="100"/>
              <w:bottom w:type="dxa" w:w="60"/>
              <w:right w:type="dxa" w:w="100"/>
            </w:tcMar>
          </w:tcPr>
          <w:p>
            <w:r>
              <w:rPr>
                <w:b w:val="false"/>
                <w:bCs w:val="false"/>
                <w:i w:val="false"/>
                <w:iCs w:val="false"/>
                <w:sz w:val="19"/>
                <w:szCs w:val="19"/>
              </w:rPr>
              <w:t xml:space="preserve">élevé : 5 ; modéré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6026"/>
            <w:tcMar>
              <w:top w:type="dxa" w:w="60"/>
              <w:left w:type="dxa" w:w="100"/>
              <w:bottom w:type="dxa" w:w="60"/>
              <w:right w:type="dxa" w:w="100"/>
            </w:tcMar>
          </w:tcPr>
          <w:p>
            <w:r>
              <w:rPr>
                <w:b w:val="false"/>
                <w:bCs w:val="false"/>
                <w:i w:val="false"/>
                <w:iCs w:val="false"/>
                <w:sz w:val="19"/>
                <w:szCs w:val="19"/>
              </w:rPr>
              <w:t xml:space="preserve">plus faible : 4 ; plus élevée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du laboratoire</w:t>
            </w:r>
          </w:p>
        </w:tc>
        <w:tc>
          <w:tcPr>
            <w:tcW w:type="dxa" w:w="6026"/>
            <w:tcMar>
              <w:top w:type="dxa" w:w="60"/>
              <w:left w:type="dxa" w:w="100"/>
              <w:bottom w:type="dxa" w:w="60"/>
              <w:right w:type="dxa" w:w="100"/>
            </w:tcMar>
          </w:tcPr>
          <w:p>
            <w:r>
              <w:rPr>
                <w:b w:val="false"/>
                <w:bCs w:val="false"/>
                <w:i w:val="false"/>
                <w:iCs w:val="false"/>
                <w:sz w:val="19"/>
                <w:szCs w:val="19"/>
              </w:rPr>
              <w:t xml:space="preserve">en état : 12 ; en panne : 2 ; laboratoire non encore ouvert : 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6026"/>
            <w:tcMar>
              <w:top w:type="dxa" w:w="60"/>
              <w:left w:type="dxa" w:w="100"/>
              <w:bottom w:type="dxa" w:w="60"/>
              <w:right w:type="dxa" w:w="100"/>
            </w:tcMar>
          </w:tcPr>
          <w:p>
            <w:r>
              <w:rPr>
                <w:b w:val="false"/>
                <w:bCs w:val="false"/>
                <w:i w:val="false"/>
                <w:iCs w:val="false"/>
                <w:sz w:val="19"/>
                <w:szCs w:val="19"/>
              </w:rPr>
              <w:t xml:space="preserve">oui : 6 ; non : 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de la première CPN (demandée en CPN, faite au laboratoire) le jour de l'observation</w:t>
            </w:r>
          </w:p>
        </w:tc>
        <w:tc>
          <w:tcPr>
            <w:tcW w:type="dxa" w:w="6026"/>
            <w:tcMar>
              <w:top w:type="dxa" w:w="60"/>
              <w:left w:type="dxa" w:w="100"/>
              <w:bottom w:type="dxa" w:w="60"/>
              <w:right w:type="dxa" w:w="100"/>
            </w:tcMar>
          </w:tcPr>
          <w:p>
            <w:r>
              <w:rPr>
                <w:b w:val="false"/>
                <w:bCs w:val="false"/>
                <w:i w:val="false"/>
                <w:iCs w:val="false"/>
                <w:sz w:val="19"/>
                <w:szCs w:val="19"/>
              </w:rPr>
              <w:t xml:space="preserve">faite à toutes : 8 ; non faite : rupture de bandelettes : 3 ; non faite : glucomètre en panne : 2 ; non faite : laborantin absent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Rupture de bandelettes de glycémie (trois derniers mois)</w:t>
            </w:r>
          </w:p>
        </w:tc>
        <w:tc>
          <w:tcPr>
            <w:tcW w:type="dxa" w:w="6026"/>
            <w:tcMar>
              <w:top w:type="dxa" w:w="60"/>
              <w:left w:type="dxa" w:w="100"/>
              <w:bottom w:type="dxa" w:w="60"/>
              <w:right w:type="dxa" w:w="100"/>
            </w:tcMar>
          </w:tcPr>
          <w:p>
            <w:r>
              <w:rPr>
                <w:b w:val="false"/>
                <w:bCs w:val="false"/>
                <w:i w:val="false"/>
                <w:iCs w:val="false"/>
                <w:sz w:val="19"/>
                <w:szCs w:val="19"/>
              </w:rPr>
              <w:t xml:space="preserve">oui : 6 ; non : 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Test manqué noté pour être refait</w:t>
            </w:r>
          </w:p>
        </w:tc>
        <w:tc>
          <w:tcPr>
            <w:tcW w:type="dxa" w:w="6026"/>
            <w:tcMar>
              <w:top w:type="dxa" w:w="60"/>
              <w:left w:type="dxa" w:w="100"/>
              <w:bottom w:type="dxa" w:w="60"/>
              <w:right w:type="dxa" w:w="100"/>
            </w:tcMar>
          </w:tcPr>
          <w:p>
            <w:r>
              <w:rPr>
                <w:b w:val="false"/>
                <w:bCs w:val="false"/>
                <w:i w:val="false"/>
                <w:iCs w:val="false"/>
                <w:sz w:val="19"/>
                <w:szCs w:val="19"/>
              </w:rPr>
              <w:t xml:space="preserve">oui : 2 ; non : 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refaite systématiquement à 24-28 semaines</w:t>
            </w:r>
          </w:p>
        </w:tc>
        <w:tc>
          <w:tcPr>
            <w:tcW w:type="dxa" w:w="6026"/>
            <w:tcMar>
              <w:top w:type="dxa" w:w="60"/>
              <w:left w:type="dxa" w:w="100"/>
              <w:bottom w:type="dxa" w:w="60"/>
              <w:right w:type="dxa" w:w="100"/>
            </w:tcMar>
          </w:tcPr>
          <w:p>
            <w:r>
              <w:rPr>
                <w:b w:val="false"/>
                <w:bCs w:val="false"/>
                <w:i w:val="false"/>
                <w:iCs w:val="false"/>
                <w:sz w:val="19"/>
                <w:szCs w:val="19"/>
              </w:rPr>
              <w:t xml:space="preserve">oui : 0 ; non (sur facteurs de risque au mieux)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Femmes reçues pendant la demi-journée</w:t>
            </w:r>
          </w:p>
        </w:tc>
        <w:tc>
          <w:tcPr>
            <w:tcW w:type="dxa" w:w="6026"/>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et données de routine du district.</w:t>
      </w:r>
    </w:p>
    <w:p>
      <w:pPr>
        <w:spacing w:after="80"/>
        <w:jc w:val="both"/>
      </w:pPr>
      <w:r>
        <w:rPr>
          <w:i w:val="false"/>
          <w:iCs w:val="false"/>
          <w:sz w:val="22"/>
          <w:szCs w:val="22"/>
        </w:rPr>
        <w:t xml:space="preserve">Le tensiomètre était présent en salle de CPN dans les 15 centres. La glycémie de la première CPN y est demandée pour toutes les femmes et faite par le laboratoire, dont le glucomètre était en état dans 12 centres et en panne dans 2 ; dans le centre dont le laboratoire n'était pas encore ouvert, l'équipe de CPN la faisait elle-même. Six services de CPN disposaient en outre d'un glucomètre pour les urgences ; les autres appellent le laborantin ou envoient la femme au laboratoire. Le jour de l'observation, la glycémie était faite dans 8 centres ; dans les 7 autres, elle ne l'était pas, faute de bandelettes valides (3), d'un appareil en état (2) ou du laborantin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80"/>
        <w:jc w:val="both"/>
      </w:pPr>
      <w:r>
        <w:rPr>
          <w:i w:val="false"/>
          <w:iCs w:val="false"/>
          <w:sz w:val="22"/>
          <w:szCs w:val="22"/>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pStyle w:val="Heading3"/>
        <w:spacing w:after="100" w:before="180"/>
      </w:pPr>
      <w:r>
        <w:t xml:space="preserve">5.2.2. Thème 1 — Un test pour toutes, sauf les jours où il manque quelque chose</w:t>
      </w:r>
    </w:p>
    <w:p>
      <w:pPr>
        <w:spacing w:after="80"/>
        <w:jc w:val="both"/>
      </w:pPr>
      <w:r>
        <w:rPr>
          <w:i w:val="false"/>
          <w:iCs w:val="false"/>
          <w:sz w:val="22"/>
          <w:szCs w:val="22"/>
        </w:rPr>
        <w:t xml:space="preserve">Définition. La tension est mesurée à chaque visite ; la glycémie est demandée par la CPN pour toutes au premier contact et faite au laboratoire, mais elle saute les jours de rupture de bandelettes, de panne du glucomètre ou d'absence du laborantin, et quand la femme se présente après l'heure des prélèvements. La femme reçue ces jours-là n'est presque jamais rattrapée, et le test, même quand il est fait, n'est pas refait entre 24 et 28 semaines.</w:t>
      </w:r>
    </w:p>
    <w:p>
      <w:pPr>
        <w:spacing w:after="80"/>
        <w:jc w:val="both"/>
      </w:pPr>
      <w:r>
        <w:rPr>
          <w:i w:val="false"/>
          <w:iCs w:val="false"/>
          <w:sz w:val="22"/>
          <w:szCs w:val="22"/>
        </w:rPr>
        <w:t xml:space="preserve">Tous les participants (20) décrivent la glycémie de la première CPN comme une règle pour toutes ; 15 décrivent des jours, des semaines ou des mois où elle ne se fait pas. Trois causes reviennent : la rupture ou la péremption des bandelettes du laboratoire, partagées avec la consultation des maladies chroniques (6 participants évoquent cette concurrence) ; la panne d'un appareil que personne ne répare (5) ; et l'absence d'un laborantin souvent seul, ou l'arrêt des prélèvements à midi. Le relais en CPN dépend d'un glucomètre propre au service, réservé aux urgences, et d'une personne formée à son usage : 7 participants décrivent cette glycémie d'urgence, faite en CPN ou par le laborantin appelé dans la salle.</w:t>
      </w:r>
    </w:p>
    <w:p>
      <w:pPr>
        <w:spacing w:after="40" w:before="60"/>
        <w:ind w:left="567" w:right="567"/>
        <w:jc w:val="both"/>
      </w:pPr>
      <w:r>
        <w:rPr>
          <w:i/>
          <w:iCs/>
          <w:sz w:val="21"/>
          <w:szCs w:val="21"/>
        </w:rPr>
        <w:t xml:space="preserve">« Mais le laboratoire ne prélève plus après midi. Celle qui arrive tard, ou qui attend trop longtemps chez nous, trouve un laboratoire qui ne reçoit plus personne pour les prélèvements ; la case du sucre reste vide, et personne ne la rappelle. »</w:t>
      </w:r>
    </w:p>
    <w:p>
      <w:pPr>
        <w:spacing w:after="160"/>
        <w:ind w:left="567" w:right="567"/>
        <w:jc w:val="right"/>
      </w:pPr>
      <w:r>
        <w:rPr>
          <w:color w:val="444444"/>
          <w:sz w:val="19"/>
          <w:szCs w:val="19"/>
        </w:rPr>
        <w:t xml:space="preserve">(P20, infirmier — traduit du kinyarwanda)</w:t>
      </w:r>
    </w:p>
    <w:p>
      <w:pPr>
        <w:spacing w:after="80"/>
        <w:jc w:val="both"/>
      </w:pPr>
      <w:r>
        <w:rPr>
          <w:i w:val="false"/>
          <w:iCs w:val="false"/>
          <w:sz w:val="22"/>
          <w:szCs w:val="22"/>
        </w:rPr>
        <w:t xml:space="preserve">Douze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et de l'heure où la femme se présente.</w:t>
      </w:r>
    </w:p>
    <w:p>
      <w:pPr>
        <w:spacing w:after="40" w:before="60"/>
        <w:ind w:left="567" w:right="567"/>
        <w:jc w:val="both"/>
      </w:pPr>
      <w:r>
        <w:rPr>
          <w:i/>
          <w:iCs/>
          <w:sz w:val="21"/>
          <w:szCs w:val="21"/>
        </w:rPr>
        <w:t xml:space="preserve">«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spacing w:after="160"/>
        <w:ind w:left="567" w:right="567"/>
        <w:jc w:val="right"/>
      </w:pPr>
      <w:r>
        <w:rPr>
          <w:color w:val="444444"/>
          <w:sz w:val="19"/>
          <w:szCs w:val="19"/>
        </w:rPr>
        <w:t xml:space="preserve">(P01, infirmier — traduit du kinyarwanda)</w:t>
      </w:r>
    </w:p>
    <w:p>
      <w:pPr>
        <w:spacing w:after="80"/>
        <w:jc w:val="both"/>
      </w:pPr>
      <w:r>
        <w:rPr>
          <w:i w:val="false"/>
          <w:iCs w:val="false"/>
          <w:sz w:val="22"/>
          <w:szCs w:val="22"/>
        </w:rPr>
        <w:t xml:space="preserve">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after="100" w:before="180"/>
      </w:pPr>
      <w:r>
        <w:t xml:space="preserve">5.2.3. Thème 2 — Expliquer moins à celles qui savent le moins</w:t>
      </w:r>
    </w:p>
    <w:p>
      <w:pPr>
        <w:spacing w:after="80"/>
        <w:jc w:val="both"/>
      </w:pPr>
      <w:r>
        <w:rPr>
          <w:i w:val="false"/>
          <w:iCs w:val="false"/>
          <w:sz w:val="22"/>
          <w:szCs w:val="22"/>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80"/>
        <w:jc w:val="both"/>
      </w:pPr>
      <w:r>
        <w:rPr>
          <w:i w:val="false"/>
          <w:iCs w:val="false"/>
          <w:sz w:val="22"/>
          <w:szCs w:val="22"/>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80"/>
        <w:jc w:val="both"/>
      </w:pPr>
      <w:r>
        <w:rPr>
          <w:i w:val="false"/>
          <w:iCs w:val="false"/>
          <w:sz w:val="22"/>
          <w:szCs w:val="22"/>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80"/>
        <w:jc w:val="both"/>
      </w:pPr>
      <w:r>
        <w:rPr>
          <w:i w:val="false"/>
          <w:iCs w:val="false"/>
          <w:sz w:val="22"/>
          <w:szCs w:val="22"/>
        </w:rPr>
        <w:t xml:space="preserve">Un moment échappe à cette modulation : la séance d'éducation collective, tenue deux à trois matins par semaine avant les consultations, observée le jour de la visite dans 11 centres sur 15. Neuf participants la décrivent : la même information pour toutes les présentes, où la tension n'apparaît qu'à travers les signes de danger (thème observé dans 5 centres) et le sucre presque jamais ; elle commence avant l'arrivée des femmes des collines éloignées, et 4 participants notent qu'elle tient parfois lieu de restitution du résultat.</w:t>
      </w:r>
    </w:p>
    <w:p>
      <w:pPr>
        <w:spacing w:after="40" w:before="60"/>
        <w:ind w:left="567" w:right="567"/>
        <w:jc w:val="both"/>
      </w:pPr>
      <w:r>
        <w:rPr>
          <w:i/>
          <w:iCs/>
          <w:sz w:val="21"/>
          <w:szCs w:val="21"/>
        </w:rPr>
        <w:t xml:space="preserve">« Les femmes des collines du fond arrivent à dix heures, parfois onze heures, après deux heures de marche. Elles ont raté la séance. Et ce sont justement celles qui en auraient le plus besoin. »</w:t>
      </w:r>
    </w:p>
    <w:p>
      <w:pPr>
        <w:spacing w:after="160"/>
        <w:ind w:left="567" w:right="567"/>
        <w:jc w:val="right"/>
      </w:pPr>
      <w:r>
        <w:rPr>
          <w:color w:val="444444"/>
          <w:sz w:val="19"/>
          <w:szCs w:val="19"/>
        </w:rPr>
        <w:t xml:space="preserve">(P03,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80"/>
        <w:jc w:val="both"/>
      </w:pPr>
      <w:r>
        <w:rPr>
          <w:i w:val="false"/>
          <w:iCs w:val="false"/>
          <w:sz w:val="22"/>
          <w:szCs w:val="22"/>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after="100" w:before="180"/>
      </w:pPr>
      <w:r>
        <w:t xml:space="preserve">5.3.2. Thème 4 — Ce qui est compté existe</w:t>
      </w:r>
    </w:p>
    <w:p>
      <w:pPr>
        <w:spacing w:after="80"/>
        <w:jc w:val="both"/>
      </w:pPr>
      <w:r>
        <w:rPr>
          <w:i w:val="false"/>
          <w:iCs w:val="false"/>
          <w:sz w:val="22"/>
          <w:szCs w:val="22"/>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pStyle w:val="Heading3"/>
        <w:spacing w:after="100" w:before="180"/>
      </w:pPr>
      <w:r>
        <w:t xml:space="preserve">5.3.3. Thème 5 — Ce que change la dotation, et ce qu'elle ne change pas</w:t>
      </w:r>
    </w:p>
    <w:p>
      <w:pPr>
        <w:spacing w:after="80"/>
        <w:jc w:val="both"/>
      </w:pPr>
      <w:r>
        <w:rPr>
          <w:i w:val="false"/>
          <w:iCs w:val="false"/>
          <w:sz w:val="22"/>
          <w:szCs w:val="22"/>
        </w:rPr>
        <w:t xml:space="preserve">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Six participants estiment que le lieu d'exercice décide de ce que reçoivent les femmes.</w:t>
      </w:r>
    </w:p>
    <w:p>
      <w:pPr>
        <w:pStyle w:val="Heading3"/>
        <w:spacing w:after="100" w:before="180"/>
      </w:pPr>
      <w:r>
        <w:t xml:space="preserve">5.3.4. Thème 3 — Trouver sans pouvoir suivre</w:t>
      </w:r>
    </w:p>
    <w:p>
      <w:pPr>
        <w:spacing w:after="80"/>
        <w:jc w:val="both"/>
      </w:pPr>
      <w:r>
        <w:rPr>
          <w:i w:val="false"/>
          <w:iCs w:val="false"/>
          <w:sz w:val="22"/>
          <w:szCs w:val="22"/>
        </w:rPr>
        <w:t xml:space="preserve">Définition. La détection ne devient une prise en charge que si la référence aboutit et si l'information revient. Devant une tension élevée, la conduite est la même partout (reprise, protéines, référence) ;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La venue du conjoint attendue à la première CPN retarde des femmes à quatre ou cinq mois, et la glycémie avec elle (2 participantes) ; les aides de l'ubudehe fidélisent les plus pauvres, et la difficulté se déplace juste au-dessus du seuil (2 participants).</w:t>
      </w:r>
    </w:p>
    <w:p>
      <w:pPr>
        <w:spacing w:after="80"/>
        <w:jc w:val="both"/>
      </w:pPr>
      <w:r>
        <w:rPr>
          <w:i w:val="false"/>
          <w:iCs w:val="false"/>
          <w:sz w:val="22"/>
          <w:szCs w:val="22"/>
        </w:rPr>
        <w:t xml:space="preserve">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spacing w:after="40" w:before="60"/>
        <w:ind w:left="567" w:right="567"/>
        <w:jc w:val="both"/>
      </w:pPr>
      <w:r>
        <w:rPr>
          <w:i/>
          <w:iCs/>
          <w:sz w:val="21"/>
          <w:szCs w:val="21"/>
        </w:rPr>
        <w:t xml:space="preserve">« Mais ce sont des femmes de fonctionnaires ou de commerçants ; la femme qui cultive ne le pourra jamais, et c'est elle qui habite le plus loin. »</w:t>
      </w:r>
    </w:p>
    <w:p>
      <w:pPr>
        <w:spacing w:after="160"/>
        <w:ind w:left="567" w:right="567"/>
        <w:jc w:val="right"/>
      </w:pPr>
      <w:r>
        <w:rPr>
          <w:color w:val="444444"/>
          <w:sz w:val="19"/>
          <w:szCs w:val="19"/>
        </w:rPr>
        <w:t xml:space="preserve">(P11, sage-femme)</w:t>
      </w:r>
    </w:p>
    <w:p>
      <w:pPr>
        <w:pStyle w:val="Heading3"/>
        <w:spacing w:after="100" w:before="180"/>
      </w:pPr>
      <w:r>
        <w:t xml:space="preserve">5.3.5. Conditions sociales perçues</w:t>
      </w:r>
    </w:p>
    <w:p>
      <w:pPr>
        <w:spacing w:after="80"/>
        <w:jc w:val="both"/>
      </w:pPr>
      <w:r>
        <w:rPr>
          <w:i w:val="false"/>
          <w:iCs w:val="false"/>
          <w:sz w:val="22"/>
          <w:szCs w:val="22"/>
        </w:rPr>
        <w:t xml:space="preserve">Les conditions sociales perçues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Heading3"/>
        <w:spacing w:after="100" w:before="180"/>
      </w:pPr>
      <w:r>
        <w:t xml:space="preserve">5.3.6. Thème 6 — Le registre comme écran</w:t>
      </w:r>
    </w:p>
    <w:p>
      <w:pPr>
        <w:spacing w:after="8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pStyle w:val="Heading3"/>
        <w:spacing w:after="100" w:before="180"/>
      </w:pPr>
      <w:r>
        <w:t xml:space="preserve">5.3.7. Thème 7 — Le dépistage hors des murs</w:t>
      </w:r>
    </w:p>
    <w:p>
      <w:pPr>
        <w:spacing w:after="80"/>
        <w:jc w:val="both"/>
      </w:pPr>
      <w:r>
        <w:rPr>
          <w:i w:val="false"/>
          <w:iCs w:val="false"/>
          <w:sz w:val="22"/>
          <w:szCs w:val="22"/>
        </w:rPr>
        <w:t xml:space="preserve">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sans circuit formel de contre-référence. L'alerte que l'ASM envoie par téléphone organise l'urgence — convulsions, saignement — jusqu'à l'ambulance ; elle ne prévoit rien pour une femme référée pour une tension élevée qui ne se plaint de rien (2 participants).</w:t>
      </w:r>
    </w:p>
    <w:p>
      <w:pPr>
        <w:pStyle w:val="Heading2"/>
        <w:spacing w:after="120" w:before="220"/>
      </w:pPr>
      <w:r>
        <w:t xml:space="preserve">5.4. Portée reconnue en équité et transformations proposées</w:t>
      </w:r>
    </w:p>
    <w:p>
      <w:pPr>
        <w:spacing w:after="80"/>
        <w:jc w:val="both"/>
      </w:pPr>
      <w:r>
        <w:rPr>
          <w:i w:val="false"/>
          <w:iCs w:val="false"/>
          <w:sz w:val="22"/>
          <w:szCs w:val="22"/>
        </w:rPr>
        <w:t xml:space="preserve">Le mot « équité », jamais prononcé par l'enquêteur, apparaît spontanément dans 3 entretiens. Le jugement dominant est celui d'une inégalité inacceptable (16 participants), attribuée au système (13) mais aussi, pour 11 participants, à une part qui leur revient : l'explication. L'heure d'arrivée (8) et le lieu (6) sont des facteurs d'inégalité qui ne dépendent pas de la femme ; une minorité exprime une résignation (5) ou refuse de juger (2).</w:t>
      </w:r>
    </w:p>
    <w:p>
      <w:pPr>
        <w:spacing w:after="80"/>
        <w:jc w:val="both"/>
      </w:pPr>
      <w:r>
        <w:rPr>
          <w:i w:val="false"/>
          <w:iCs w:val="false"/>
          <w:sz w:val="22"/>
          <w:szCs w:val="22"/>
        </w:rPr>
        <w:t xml:space="preserve">Invités à désigner une priorité, les participants se partagent entre intrants, formation, personnel, référence et redevabilité. La proposition d'un indicateur (8 participants) vise le mécanisme du thème 4 plutôt que l'un de ses effets. D'autres proposent d'inscrire la tension et le sucre au programme des séances, ou de passer par l'umugoroba w'ababyeyi pour atteindre les maris (2).</w:t>
      </w:r>
    </w:p>
    <w:p>
      <w:pPr>
        <w:pStyle w:val="Heading2"/>
        <w:spacing w:after="120" w:before="220"/>
      </w:pPr>
      <w:r>
        <w:t xml:space="preserve">5.5. Triangulation et synthèse</w:t>
      </w:r>
    </w:p>
    <w:p>
      <w:pPr>
        <w:spacing w:after="80"/>
        <w:jc w:val="both"/>
      </w:pPr>
      <w:r>
        <w:rPr>
          <w:i w:val="false"/>
          <w:iCs w:val="false"/>
          <w:sz w:val="22"/>
          <w:szCs w:val="22"/>
        </w:rPr>
        <w:t xml:space="preserve">Sur les 15 centres observés, 8 ont fait l'objet d'un constat de confrontation entre propos et observation : 6 concordances et 2 écarts. L'observation a confirmé le circuit de la glycémie de la première CPN — bon de la CPN, test au laboratoire — là où il fonctionne, montré ses interruptions et le rattrapage là où il existe, et corroboré l'effet de registre du thème 6 et le contenu des séances d'éducation ; les écarts portent sur une mesure déclarée systématique et sur une explication déclarée individualisée. Les données de routine du district situent la part des premières CPN ayant reçu une glycémie entre 38 % et 95 % selon les centres, plus bas là où ruptures, pannes ou absences du laborantin se sont accumulées ; elles montrent aussi un premier contact plus tardif dans les secteurs les plus pauvres.</w:t>
      </w:r>
    </w:p>
    <w:p>
      <w:pPr>
        <w:spacing w:after="80"/>
        <w:jc w:val="both"/>
      </w:pPr>
      <w:r>
        <w:rPr>
          <w:i w:val="false"/>
          <w:iCs w:val="false"/>
          <w:sz w:val="22"/>
          <w:szCs w:val="22"/>
        </w:rPr>
        <w:t xml:space="preserve">Le tableau VI rassemble les sept thèmes : un dépistage qui dépend moins de la volonté des professionnels que de conditions qu'ils ne maîtrisent pas — bandelettes, appareil, laborantin, temps, véhicule, indicateur, moyens du ménage —, mais aussi d'une part qui leur revient : l'explication.</w:t>
      </w:r>
    </w:p>
    <w:p>
      <w:pPr>
        <w:keepNext/>
        <w:spacing w:after="80" w:before="200"/>
      </w:pPr>
      <w:r>
        <w:rPr>
          <w:b/>
          <w:bCs/>
          <w:sz w:val="20"/>
          <w:szCs w:val="20"/>
        </w:rPr>
        <w:t xml:space="preserve">Tableau VI.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test pour toutes, sauf les jours où il manque quelque chose</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Glycémie demandée pour toutes à la première CPN, faite au laboratoire ; sautée les jours de rupture, de panne ou sans laborantin, rarement rattrapée, non refaite à 24-28 semaines.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à l'inverse des besoins ; la séance collective, égale pour les présentes, ne restitue aucun résultat.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 ; l'autosurveillance après le diagnostic reste réservée aux ménages aisés.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Les intrants rendent le test initial régulier, pas le contrôle tardif ni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Les relais communautaires prolongent le dépistage ; l'alerte des ASM organise l'urgence, pas le contrôle.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 tableau VI.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2026-10-03T07:38:04.389Z</dcterms:created>
  <dcterms:modified xsi:type="dcterms:W3CDTF">2026-10-03T07:38:04.389Z</dcterms:modified>
</cp:coreProperties>
</file>

<file path=docProps/custom.xml><?xml version="1.0" encoding="utf-8"?>
<Properties xmlns="http://schemas.openxmlformats.org/officeDocument/2006/custom-properties" xmlns:vt="http://schemas.openxmlformats.org/officeDocument/2006/docPropsVTypes"/>
</file>