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Un test pour toutes, sauf les jours où il manque quelque chose. La glycémie, demandée par la CPN pour toutes à la première visite, est faite au laboratoire ; elle saute les jours de rupture de bandelettes, de panne ou d'absence du laborantin : le jour de l'observation, elle n'était faite que dans 8 centres sur 15. La femme manquée n'est rattrapée que dans 2 centres, et aucun ne refait le test entre 24 et 28 semaines.</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bandelettes sans rupture, laborantin remplacé, glucomètre d'urgence en CPN, liste des femmes à retester, ligne dans le rapport mensuel.</w:t>
      </w:r>
    </w:p>
    <w:p>
      <w:pPr>
        <w:pStyle w:val="Heading1"/>
        <w:spacing w:before="280" w:after="160"/>
        <w:rPr/>
      </w:pPr>
      <w:r>
        <w:rPr/>
        <w:t>1. CONTEXTE ET JUSTIFICATION</w:t>
      </w:r>
    </w:p>
    <w:p>
      <w:pPr>
        <w:pStyle w:val="Normal"/>
        <w:spacing w:before="0" w:after="8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8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w:t>
      </w:r>
    </w:p>
    <w:p>
      <w:pPr>
        <w:pStyle w:val="Normal"/>
        <w:spacing w:before="0" w:after="80"/>
        <w:jc w:val="both"/>
        <w:rPr/>
      </w:pPr>
      <w:r>
        <w:rPr>
          <w:i w:val="false"/>
          <w:iCs w:val="false"/>
        </w:rPr>
        <w:t>Au regard de la Charte d'Ottawa</w:t>
      </w:r>
      <w:r>
        <w:rPr/>
        <w:t xml:space="preserve"> [6]</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8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pPr>
      <w:r>
        <w:rPr>
          <w:b/>
          <w:bCs/>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0,850) et recodage intra-codeur à quatre semaines (κ = 0,955),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Un test pour toutes, interrompu par les ruptures, les pannes et l'absence du laborantin</w:t>
      </w:r>
    </w:p>
    <w:p>
      <w:pPr>
        <w:pStyle w:val="Normal"/>
        <w:spacing w:before="0" w:after="80"/>
        <w:jc w:val="both"/>
        <w:rPr/>
      </w:pPr>
      <w:r>
        <w:rPr>
          <w:i w:val="false"/>
          <w:iCs w:val="false"/>
        </w:rPr>
        <w:t>Dans les 15 centres, la CPN demande la glycémie pour toutes à la première visite et le laboratoire la réalise ; 6 services de CPN ont un glucomètre pour les urgences. Le jour de l'observation, le test n'était pas fait partout (tableau 2).</w:t>
      </w:r>
    </w:p>
    <w:p>
      <w:pPr>
        <w:pStyle w:val="Normal"/>
        <w:keepNext w:val="true"/>
        <w:spacing w:before="200" w:after="80"/>
        <w:rPr/>
      </w:pPr>
      <w:r>
        <w:rPr>
          <w:b/>
          <w:bCs/>
        </w:rPr>
        <w:t>Tableau 2. Glycémie de la première CPN,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faite à toutes les femmes de première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8</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rupture de bandelettes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glucomètre du laboratoire en panne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laborantin absent</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au cours des trois derniers mois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Test manqué noté pour être refait au rendez-vous suivant</w:t>
            </w:r>
          </w:p>
        </w:tc>
        <w:tc>
          <w:tcPr>
            <w:tcW w:w="194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2</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80"/>
        <w:jc w:val="both"/>
        <w:rPr/>
      </w:pPr>
      <w:r>
        <w:rPr>
          <w:i w:val="false"/>
          <w:iCs w:val="false"/>
        </w:rPr>
        <w:t>L'analyse a dégagé sept thèmes, dont deux répondent au premier objectif et cinq au second (tableau 3).</w:t>
      </w:r>
    </w:p>
    <w:p>
      <w:pPr>
        <w:pStyle w:val="Normal"/>
        <w:keepNext w:val="true"/>
        <w:spacing w:before="200" w:after="80"/>
        <w:rPr/>
      </w:pPr>
      <w:r>
        <w:rPr>
          <w:b/>
          <w:bCs/>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demandée pour toutes à la première CPN, faite au laboratoire ; sautée les jours de rupture, de panne ou sans laborantin, rarement rattrapée, non refaite à 24-28 semaines.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l'autosurveillance après le diagnostic reste réservée aux ménages aisés.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Les intrants rendent le test initial régulier, pas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Les relais communautaires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Un propos qui résume</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Heading2"/>
        <w:spacing w:before="220" w:after="120"/>
        <w:rPr/>
      </w:pPr>
      <w:r>
        <w:rPr/>
        <w:t>4.4. Ce que l'observation confirme ou nuance</w:t>
      </w:r>
    </w:p>
    <w:p>
      <w:pPr>
        <w:pStyle w:val="Normal"/>
        <w:spacing w:before="0" w:after="80"/>
        <w:jc w:val="both"/>
        <w:rPr/>
      </w:pPr>
      <w:r>
        <w:rPr>
          <w:i w:val="false"/>
          <w:iCs w:val="false"/>
        </w:rPr>
        <w:t>La confrontation des entretiens avec l'observation et les données de routine a produit 8 constats : 6 concordances et 2 écarts ; elle seule a montré les interruptions du test et l'absence de rattrapage.</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Une règle pour toutes, une exécution intermittente. Le test dépend des bandelettes du laboratoire, partagées avec la consultation des maladies chroniques, d'appareils sans maintenance et d'un laborantin souvent seul ; sans liste des femmes manquées, chaque interruption devient une absence définitive.</w:t>
      </w:r>
    </w:p>
    <w:p>
      <w:pPr>
        <w:pStyle w:val="ListParagraph"/>
        <w:numPr>
          <w:ilvl w:val="0"/>
          <w:numId w:val="1"/>
        </w:numPr>
        <w:spacing w:before="0" w:after="80"/>
        <w:jc w:val="both"/>
        <w:rPr/>
      </w:pPr>
      <w:r>
        <w:rPr>
          <w:i w:val="false"/>
          <w:iCs w:val="false"/>
        </w:rPr>
        <w:t>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w:t>
      </w:r>
    </w:p>
    <w:p>
      <w:pPr>
        <w:pStyle w:val="ListParagraph"/>
        <w:numPr>
          <w:ilvl w:val="0"/>
          <w:numId w:val="1"/>
        </w:numPr>
        <w:spacing w:before="0" w:after="80"/>
        <w:jc w:val="both"/>
        <w:rPr/>
      </w:pPr>
      <w:r>
        <w:rPr>
          <w:i w:val="false"/>
          <w:iCs w:val="false"/>
        </w:rPr>
        <w:t>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L'équipement réduit l'inégalité du test, pas celles de la référence et de l'explication.</w:t>
      </w:r>
    </w:p>
    <w:p>
      <w:pPr>
        <w:pStyle w:val="Heading1"/>
        <w:spacing w:before="280" w:after="160"/>
        <w:rPr/>
      </w:pPr>
      <w:r>
        <w:rPr/>
        <w:t>6. RECOMMANDATIONS</w:t>
      </w:r>
    </w:p>
    <w:p>
      <w:pPr>
        <w:pStyle w:val="Normal"/>
        <w:keepNext w:val="true"/>
        <w:spacing w:before="200" w:after="80"/>
        <w:rPr/>
      </w:pPr>
      <w:r>
        <w:rPr>
          <w:b/>
          <w:bCs/>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Inclure les bandelettes de la CPN et les piles des tensiomètres dans les intrants essentiels, avec un seuil d'alerte ; doter chaque CPN d'un glucomètre d'urgence et former à son usage tous ses prestataires ; garantir la présence d'un laborantin ou d'un remplaçant aux heures de CPN ; ajouter au rapport mensuel une ligne sur le dépistage et sa suite ; organiser la maintenance ; superviser les actes, pas seulement la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Tenir la liste des femmes dont le test n'a pas pu être fait et le refaire au rendez-vous suivant ; organiser le passage au laboratoire le matin même, avant la fermeture ; organiser le contrôle à 24-28 semaines ; prévoir un suivi plus rapproché des femmes dépistées qui ne peuvent pas se surveiller à domicile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80"/>
        <w:jc w:val="both"/>
        <w:rPr/>
      </w:pPr>
      <w:r>
        <w:rPr>
          <w:i w:val="false"/>
          <w:iCs w:val="false"/>
        </w:rPr>
        <w:t>Pratiques déclarées ; point de vue des femmes non recueilli ; propos notés sans enregistrement ; effet de présence de l'observateur ; données de routine limitées ; un seul district.</w:t>
      </w:r>
    </w:p>
    <w:p>
      <w:pPr>
        <w:pStyle w:val="Heading1"/>
        <w:spacing w:before="280" w:after="160"/>
        <w:rPr/>
      </w:pPr>
      <w:r>
        <w:rPr/>
        <w:t>8. CONCLUSION</w:t>
      </w:r>
    </w:p>
    <w:p>
      <w:pPr>
        <w:pStyle w:val="Normal"/>
        <w:spacing w:before="0" w:after="80"/>
        <w:jc w:val="both"/>
        <w:rPr/>
      </w:pPr>
      <w:r>
        <w:rPr>
          <w:i w:val="false"/>
          <w:iCs w:val="false"/>
        </w:rPr>
        <w:t>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6.</w:t>
        <w:tab/>
        <w:t>World Health Organization. Ottawa Charter for Health Promotion. Geneva: WHO; 1986.</w:t>
      </w:r>
    </w:p>
    <w:p>
      <w:pPr>
        <w:pStyle w:val="Bibliographie"/>
        <w:rPr/>
      </w:pPr>
      <w:r>
        <w:rPr/>
        <w:t>7.</w:t>
        <w:tab/>
        <w:t>Rwanda Biomedical Centre, Ministry of Health. National antenatal care guidelines. Kigali: RBC; 2021. Disponible sur: https://rbc.gov.rw/MCCH/wp-content/uploads/2025/02/ANC-guideline_-final-Edited-4-February-2021-1-1.pdf</w:t>
      </w:r>
    </w:p>
    <w:p>
      <w:pPr>
        <w:pStyle w:val="Bibliographie"/>
        <w:rPr/>
      </w:pPr>
      <w:r>
        <w:rPr/>
        <w:t>8.</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spacing w:lineRule="auto" w:line="240" w:before="0" w:after="60"/>
        <w:ind w:hanging="567" w:left="567"/>
        <w:jc w:val="left"/>
        <w:rPr/>
      </w:pPr>
      <w:r>
        <w:rPr/>
        <w:t>11.</w:t>
        <w:tab/>
        <w:t>Musabyimana A, Lundeen T, Butrick E, Sayinzoga F, Rwabufigiri BN, Walker D, Musange SF. Before and after implementation of group antenatal care in Rwanda: a qualitative study of women’s experiences. Reprod Health. 2019;16(1):90. doi:10.1186/s12978-019-0750-5</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2026-10-03T07:38:05Z</dcterms:created>
  <dc:creator>Un-named</dc:creator>
  <dc:description/>
  <dc:language>en-US</dc:language>
  <cp:lastModifiedBy>Un-named</cp:lastModifiedBy>
  <dcterms:modified xsi:type="dcterms:W3CDTF">2026-10-03T07:38:05Z</dcterms:modified>
  <cp:revision>1</cp:revision>
  <dc:subject/>
  <dc:title/>
</cp:coreProperties>
</file>