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La discussion du mémoire réel portera sur les résultats réels et ne reprendra rien de celle-ci.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en deux vagues</w:t>
            </w:r>
          </w:p>
        </w:tc>
      </w:tr>
    </w:tbl>
    <w:p>
      <w:r>
        <w:br w:type="page"/>
      </w:r>
    </w:p>
    <w:p>
      <w:pPr>
        <w:pStyle w:val="Heading1"/>
        <w:spacing w:after="160" w:before="280"/>
      </w:pPr>
      <w:r>
        <w:t xml:space="preserve">6. DISCUSSION</w:t>
      </w:r>
    </w:p>
    <w:p>
      <w:pPr>
        <w:spacing w:after="140"/>
        <w:jc w:val="both"/>
      </w:pPr>
      <w:r>
        <w:rPr>
          <w:i w:val="false"/>
          <w:iCs w:val="false"/>
          <w:sz w:val="22"/>
          <w:szCs w:val="22"/>
        </w:rPr>
        <w:t xml:space="preserve">Ce chapitre discute les résultats au regard des objectifs de l'étude, de la revue de littérature et du cadre conceptuel. Il rappelle d'abord les principaux résultats, les confronte ensuite à la littérature thème par thème, revient sur le cadre conceptuel, examine les forces et les limites de l'étude, et en tire des implications pour la pratique et la recherche.</w:t>
      </w:r>
    </w:p>
    <w:p>
      <w:pPr>
        <w:pStyle w:val="Heading2"/>
        <w:spacing w:after="120" w:before="220"/>
      </w:pPr>
      <w:r>
        <w:t xml:space="preserve">6.1. Rappel des principaux résultats</w:t>
      </w:r>
    </w:p>
    <w:p>
      <w:pPr>
        <w:spacing w:after="140"/>
        <w:jc w:val="both"/>
      </w:pPr>
      <w:r>
        <w:rPr>
          <w:i w:val="false"/>
          <w:iCs w:val="false"/>
          <w:sz w:val="22"/>
          <w:szCs w:val="22"/>
        </w:rPr>
        <w:t xml:space="preserve">L'étude visait à analyser les perceptions et les pratiques déclarées des infirmiers et sages-femmes à l'égard du dépistage de l'hypertension et du diabète en consultation prénatale, ainsi que la portée qu'ils reconnaissent en matière d'équité. Trois résultats dominent. Premièrement, le dépistage est « coupé en deux » : la mesure de la tension est un geste intégré à la CPN, tandis que la glycémie se fait ailleurs. Un glucomètre existait dans 15 centres sur 16, mais aucun en salle de CPN : il se trouvait au laboratoire ou à la consultation des maladies chroniques, et la glycémie d'une femme enceinte n'était réalisable, sur bon de la CPN, que dans 5 centres. Deuxièmement, la part informative du dépistage, celle qui fonde la capacité de la femme à agir, est modulée selon l'heure, la charge et l'idée que le soignant se fait de la femme, à l'inverse des besoins ; 18 participants le décrivent eux-mêmes. Troisièmement, les conditions qui limitent le dépistage relèvent surtout du système : rattachement de la glycémie à un autre programme, indicateurs, approvisionnement, référence sans retour d'information, rupture à l'accouchement ; mais une majorité de participants reconnaissent aussi une part qui leur revient.</w:t>
      </w:r>
    </w:p>
    <w:p>
      <w:pPr>
        <w:pStyle w:val="Heading2"/>
        <w:spacing w:after="120" w:before="220"/>
      </w:pPr>
      <w:r>
        <w:t xml:space="preserve">6.2. Discussion des résultats</w:t>
      </w:r>
    </w:p>
    <w:p>
      <w:pPr>
        <w:pStyle w:val="Heading3"/>
        <w:spacing w:after="100" w:before="180"/>
      </w:pPr>
      <w:r>
        <w:t xml:space="preserve">6.2.1. Deux programmes dans le même centre : la glycémie hors de la CPN</w:t>
      </w:r>
    </w:p>
    <w:p>
      <w:pPr>
        <w:spacing w:after="140"/>
        <w:jc w:val="both"/>
      </w:pPr>
      <w:r>
        <w:rPr>
          <w:i w:val="false"/>
          <w:iCs w:val="false"/>
          <w:sz w:val="22"/>
          <w:szCs w:val="22"/>
        </w:rPr>
        <w:t xml:space="preserve">Les recommandations internationales désignent la consultation prénatale comme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la Déclaration de Jakarta fait des milieux de vie, dont la CPN relève, le cadre privilégié de l'action promotionnelle</w:t>
      </w:r>
      <w:r>
        <w:rPr>
          <w:sz w:val="22"/>
          <w:szCs w:val="22"/>
        </w:rPr>
        <w:t xml:space="preserve"> [12]</w:t>
      </w:r>
      <w:r>
        <w:rPr>
          <w:i w:val="false"/>
          <w:iCs w:val="false"/>
          <w:sz w:val="22"/>
          <w:szCs w:val="22"/>
        </w:rPr>
        <w:t xml:space="preserve">. Les participants partagent cette lecture sans réserve : tous reconnaissent le dépistage comme relevant du mandat de la CPN. Nos résultats montrent pourtant que la moitié de ce dépistage ne lui appartient pas matériellement. Dans aucun des centres observés le glucomètre ne se trouvait en salle de CPN ; il était au laboratoire du centre, ou rangé à la consultation des maladies chroniques, et ses bandelettes étaient gérées, parfois réservées, par ces services.</w:t>
      </w:r>
    </w:p>
    <w:p>
      <w:pPr>
        <w:spacing w:after="140"/>
        <w:jc w:val="both"/>
      </w:pPr>
      <w:r>
        <w:rPr>
          <w:i w:val="false"/>
          <w:iCs w:val="false"/>
          <w:sz w:val="22"/>
          <w:szCs w:val="22"/>
        </w:rPr>
        <w:t xml:space="preserve">Cette organisation n'est pas un accident local. La décentralisation des soins chroniques vers les hôpitaux de district s'est prolongée par le mentorat d'infirmiers de centres de santé, qui assurent désormais le suivi de l'hypertension non sévère et du diabète de type 2</w:t>
      </w:r>
      <w:r>
        <w:rPr>
          <w:sz w:val="22"/>
          <w:szCs w:val="22"/>
        </w:rPr>
        <w:t xml:space="preserve"> [72]</w:t>
      </w:r>
      <w:r>
        <w:rPr>
          <w:i w:val="false"/>
          <w:iCs w:val="false"/>
          <w:sz w:val="22"/>
          <w:szCs w:val="22"/>
        </w:rPr>
        <w:t xml:space="preserve">, dans la logique du paquet d'interventions essentielles de l'OMS</w:t>
      </w:r>
      <w:r>
        <w:rPr>
          <w:sz w:val="22"/>
          <w:szCs w:val="22"/>
        </w:rPr>
        <w:t xml:space="preserve"> [14]</w:t>
      </w:r>
      <w:r>
        <w:rPr>
          <w:i w:val="false"/>
          <w:iCs w:val="false"/>
          <w:sz w:val="22"/>
          <w:szCs w:val="22"/>
        </w:rPr>
        <w:t xml:space="preserve">. Le glucomètre a suivi ce programme : il est l'outil de la consultation des maladies chroniques, non celui de la consultation prénatale. Deux programmes coexistent ainsi dans le même bâtiment sans articulation formelle, ce que la revue avait identifié comme l'absence de dispositif portant la jonction entre santé maternelle et maladies chroniques</w:t>
      </w:r>
      <w:r>
        <w:rPr>
          <w:sz w:val="22"/>
          <w:szCs w:val="22"/>
        </w:rPr>
        <w:t xml:space="preserve"> [63,64]</w:t>
      </w:r>
      <w:r>
        <w:rPr>
          <w:i w:val="false"/>
          <w:iCs w:val="false"/>
          <w:sz w:val="22"/>
          <w:szCs w:val="22"/>
        </w:rPr>
        <w:t xml:space="preserve">. Nos résultats en montrent la traduction concrète : un bon à remplir, une file d'attente supplémentaire, des bandelettes réservées aux patients déjà diagnostiqués. Ils donnent un contenu matériel au déficit de mise en œuvre que l'Appel à l'action de Nairobi plaçait au centre de ses recommandations</w:t>
      </w:r>
      <w:r>
        <w:rPr>
          <w:sz w:val="22"/>
          <w:szCs w:val="22"/>
        </w:rPr>
        <w:t xml:space="preserve"> [22]</w:t>
      </w:r>
      <w:r>
        <w:rPr>
          <w:i w:val="false"/>
          <w:iCs w:val="false"/>
          <w:sz w:val="22"/>
          <w:szCs w:val="22"/>
        </w:rPr>
        <w:t xml:space="preserve">.</w:t>
      </w:r>
    </w:p>
    <w:p>
      <w:pPr>
        <w:spacing w:after="140"/>
        <w:jc w:val="both"/>
      </w:pPr>
      <w:r>
        <w:rPr>
          <w:i w:val="false"/>
          <w:iCs w:val="false"/>
          <w:sz w:val="22"/>
          <w:szCs w:val="22"/>
        </w:rPr>
        <w:t xml:space="preserve">Les données nationales concordent avec ce constat. Le dépistage du diabète gestationnel n'est pas systématique au Rwanda ; le protocole national de 2012 prévoit une glycémie capillaire à jeun et une épreuve de charge entre 24 et 28 semaines, et la seule estimation disponible en centre de santé public, 3,2 %, a été obtenue par une épreuve d'hyperglycémie provoquée réalisée pour la recherche</w:t>
      </w:r>
      <w:r>
        <w:rPr>
          <w:sz w:val="22"/>
          <w:szCs w:val="22"/>
        </w:rPr>
        <w:t xml:space="preserve"> [27]</w:t>
      </w:r>
      <w:r>
        <w:rPr>
          <w:i w:val="false"/>
          <w:iCs w:val="false"/>
          <w:sz w:val="22"/>
          <w:szCs w:val="22"/>
        </w:rPr>
        <w:t xml:space="preserve">. À l'échelle de la population, l'enquête STEPS de 2022 rapporte que 87,0 % des femmes n'avaient jamais eu de mesure de la glycémie, contre 38 % qui n'avaient jamais eu de mesure de la tension</w:t>
      </w:r>
      <w:r>
        <w:rPr>
          <w:sz w:val="22"/>
          <w:szCs w:val="22"/>
        </w:rPr>
        <w:t xml:space="preserve"> [16]</w:t>
      </w:r>
      <w:r>
        <w:rPr>
          <w:i w:val="false"/>
          <w:iCs w:val="false"/>
          <w:sz w:val="22"/>
          <w:szCs w:val="22"/>
        </w:rPr>
        <w:t xml:space="preserve">. L'asymétrie que les participants décrivent au sein de la CPN se retrouve ainsi à l'échelle du pays.</w:t>
      </w:r>
    </w:p>
    <w:p>
      <w:pPr>
        <w:spacing w:after="140"/>
        <w:jc w:val="both"/>
      </w:pPr>
      <w:r>
        <w:rPr>
          <w:i w:val="false"/>
          <w:iCs w:val="false"/>
          <w:sz w:val="22"/>
          <w:szCs w:val="22"/>
        </w:rPr>
        <w:t xml:space="preserve">Ces résultats éclairent l'ambiguïté que la revue laissait ouverte : la valeur rwandaise, inférieure aux estimations régionales</w:t>
      </w:r>
      <w:r>
        <w:rPr>
          <w:sz w:val="22"/>
          <w:szCs w:val="22"/>
        </w:rPr>
        <w:t xml:space="preserve"> [27]</w:t>
      </w:r>
      <w:r>
        <w:rPr>
          <w:i w:val="false"/>
          <w:iCs w:val="false"/>
          <w:sz w:val="22"/>
          <w:szCs w:val="22"/>
        </w:rPr>
        <w:t xml:space="preserve">, alors que les prévalences africaines varient fortement selon les critères diagnostiques</w:t>
      </w:r>
      <w:r>
        <w:rPr>
          <w:sz w:val="22"/>
          <w:szCs w:val="22"/>
        </w:rPr>
        <w:t xml:space="preserve"> [6,7,35-37]</w:t>
      </w:r>
      <w:r>
        <w:rPr>
          <w:i w:val="false"/>
          <w:iCs w:val="false"/>
          <w:sz w:val="22"/>
          <w:szCs w:val="22"/>
        </w:rPr>
        <w:t xml:space="preserve">, peut refléter une charge moindre comme une détection incomplète. Si la glycémie n'est accessible à la femme enceinte que dans une minorité de centres, une partie de l'écart pourrait tenir au dépistage lui-même. L'étude ne permet pas de le mesurer, mais elle invite à ne pas lire ces chiffres comme une donnée épidémiologique pure. Elle montre aussi un effet de second ordre : là où le geste est impossible, il cesse d'être pensé, et la compétence acquise en formation s'érode. Une dotation tardive ne retrouverait donc pas intacte la compétence qu'elle suppose.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Le résultat le plus original de l'étude concerne la pratique informative. La littérature établit un gradient social du recours et de la qualité du suivi prénatal au Rwanda</w:t>
      </w:r>
      <w:r>
        <w:rPr>
          <w:sz w:val="22"/>
          <w:szCs w:val="22"/>
        </w:rPr>
        <w:t xml:space="preserve"> [52-55]</w:t>
      </w:r>
      <w:r>
        <w:rPr>
          <w:i w:val="false"/>
          <w:iCs w:val="false"/>
          <w:sz w:val="22"/>
          <w:szCs w:val="22"/>
        </w:rPr>
        <w:t xml:space="preserve">, ainsi que des obstacles normatifs documentés du point de vue des femmes</w:t>
      </w:r>
      <w:r>
        <w:rPr>
          <w:sz w:val="22"/>
          <w:szCs w:val="22"/>
        </w:rPr>
        <w:t xml:space="preserve"> [56,57]</w:t>
      </w:r>
      <w:r>
        <w:rPr>
          <w:i w:val="false"/>
          <w:iCs w:val="false"/>
          <w:sz w:val="22"/>
          <w:szCs w:val="22"/>
        </w:rPr>
        <w:t xml:space="preserve"> ; un seul travail avait interrogé des prestataires, sur le retard au premier contact</w:t>
      </w:r>
      <w:r>
        <w:rPr>
          <w:sz w:val="22"/>
          <w:szCs w:val="22"/>
        </w:rPr>
        <w:t xml:space="preserve"> [58]</w:t>
      </w:r>
      <w:r>
        <w:rPr>
          <w:i w:val="false"/>
          <w:iCs w:val="false"/>
          <w:sz w:val="22"/>
          <w:szCs w:val="22"/>
        </w:rPr>
        <w:t xml:space="preserve">. Nos résultats livrent la lecture des prestataires, et cette lecture va au-delà d'un inventaire d'obstacles : elle décrit un mécanisme par lequel le service lui-même reproduit l'inégalité. L'explication la plus complète va aux femmes instruites, arrivées tôt, qui posent des questions ; la plus brève à celles qui n'ont pas d'autre source d'information. Cette distribution rappelle la « loi inverse des soins », selon laquelle la disponibilité de soins de qualité varie en sens inverse des besoins de la population servie</w:t>
      </w:r>
      <w:r>
        <w:rPr>
          <w:sz w:val="22"/>
          <w:szCs w:val="22"/>
        </w:rPr>
        <w:t xml:space="preserve"> [73]</w:t>
      </w:r>
      <w:r>
        <w:rPr>
          <w:i w:val="false"/>
          <w:iCs w:val="false"/>
          <w:sz w:val="22"/>
          <w:szCs w:val="22"/>
        </w:rPr>
        <w:t xml:space="preserve">. Elle s'observe ici à l'échelle la plus fine : quelques minutes d'explication, dans une même salle, le même matin.</w:t>
      </w:r>
    </w:p>
    <w:p>
      <w:pPr>
        <w:spacing w:after="140"/>
        <w:jc w:val="both"/>
      </w:pPr>
      <w:r>
        <w:rPr>
          <w:i w:val="false"/>
          <w:iCs w:val="false"/>
          <w:sz w:val="22"/>
          <w:szCs w:val="22"/>
        </w:rPr>
        <w:t xml:space="preserve">Au regard du cadre, ce résultat touche l'axe « acquérir des aptitudes individuelles » de la Charte d'Ottawa</w:t>
      </w:r>
      <w:r>
        <w:rPr>
          <w:sz w:val="22"/>
          <w:szCs w:val="22"/>
        </w:rPr>
        <w:t xml:space="preserve"> [23]</w:t>
      </w:r>
      <w:r>
        <w:rPr>
          <w:i w:val="false"/>
          <w:iCs w:val="false"/>
          <w:sz w:val="22"/>
          <w:szCs w:val="22"/>
        </w:rPr>
        <w:t xml:space="preserve">. Le dépistage n'est capacitant que si la femme repart en sachant ce que signifie le chiffre et ce qu'elle peut faire. Or la littératie en santé, que Nutbeam décline en niveaux fonctionnel, interactif et critique</w:t>
      </w:r>
      <w:r>
        <w:rPr>
          <w:sz w:val="22"/>
          <w:szCs w:val="22"/>
        </w:rPr>
        <w:t xml:space="preserve"> [74]</w:t>
      </w:r>
      <w:r>
        <w:rPr>
          <w:i w:val="false"/>
          <w:iCs w:val="false"/>
          <w:sz w:val="22"/>
          <w:szCs w:val="22"/>
        </w:rPr>
        <w:t xml:space="preserve">, est inégalement distribuée</w:t>
      </w:r>
      <w:r>
        <w:rPr>
          <w:sz w:val="22"/>
          <w:szCs w:val="22"/>
        </w:rPr>
        <w:t xml:space="preserve"> [51]</w:t>
      </w:r>
      <w:r>
        <w:rPr>
          <w:i w:val="false"/>
          <w:iCs w:val="false"/>
          <w:sz w:val="22"/>
          <w:szCs w:val="22"/>
        </w:rPr>
        <w:t xml:space="preserve">. Une explication qui se raccourcit devant les femmes les moins instruites transforme une inégalité de littératie en inégalité de capacité d'agir, ce que le protocole formulait comme le risque d'une intervention universelle appliquée dans un contexte inégalitaire</w:t>
      </w:r>
      <w:r>
        <w:rPr>
          <w:sz w:val="22"/>
          <w:szCs w:val="22"/>
        </w:rPr>
        <w:t xml:space="preserve"> [51]</w:t>
      </w:r>
      <w:r>
        <w:rPr>
          <w:i w:val="false"/>
          <w:iCs w:val="false"/>
          <w:sz w:val="22"/>
          <w:szCs w:val="22"/>
        </w:rPr>
        <w:t xml:space="preserve">. L'expérience rwandaise de la consultation prénatale en groupe, qui a amélioré les connaissances sans modifier les indicateurs cliniques usuels</w:t>
      </w:r>
      <w:r>
        <w:rPr>
          <w:sz w:val="22"/>
          <w:szCs w:val="22"/>
        </w:rPr>
        <w:t xml:space="preserve"> [65,66]</w:t>
      </w:r>
      <w:r>
        <w:rPr>
          <w:i w:val="false"/>
          <w:iCs w:val="false"/>
          <w:sz w:val="22"/>
          <w:szCs w:val="22"/>
        </w:rPr>
        <w:t xml:space="preserve">, confirme que la portée capacitante d'un service ne se lit pas dans ses indicateurs de contact.</w:t>
      </w:r>
    </w:p>
    <w:p>
      <w:pPr>
        <w:spacing w:after="140"/>
        <w:jc w:val="both"/>
      </w:pPr>
      <w:r>
        <w:rPr>
          <w:i w:val="false"/>
          <w:iCs w:val="false"/>
          <w:sz w:val="22"/>
          <w:szCs w:val="22"/>
        </w:rPr>
        <w:t xml:space="preserve">Deux nuances s'imposent. D'une part, les participants ne décrivent pas un choix délibéré mais un arbitrage sous contrainte de temps : cette conduite correspond au rationnement pratiqué par les agents de première ligne lorsque la demande excède les moyens</w:t>
      </w:r>
      <w:r>
        <w:rPr>
          <w:sz w:val="22"/>
          <w:szCs w:val="22"/>
        </w:rPr>
        <w:t xml:space="preserve"> [75]</w:t>
      </w:r>
      <w:r>
        <w:rPr>
          <w:i w:val="false"/>
          <w:iCs w:val="false"/>
          <w:sz w:val="22"/>
          <w:szCs w:val="22"/>
        </w:rPr>
        <w:t xml:space="preserve">, dans un pays où la densité de professionnels qualifiés reste très inférieure au seuil de l'OMS</w:t>
      </w:r>
      <w:r>
        <w:rPr>
          <w:sz w:val="22"/>
          <w:szCs w:val="22"/>
        </w:rPr>
        <w:t xml:space="preserve"> [70]</w:t>
      </w:r>
      <w:r>
        <w:rPr>
          <w:i w:val="false"/>
          <w:iCs w:val="false"/>
          <w:sz w:val="22"/>
          <w:szCs w:val="22"/>
        </w:rPr>
        <w:t xml:space="preserve">. D'autre part, des contre-pratiques existent : faire reformuler la femme, utiliser une image commune, refuser de classer les femmes par avance. Elles rejoignent le principe d'universalisme proportionné, selon lequel l'action doit être universelle, mais d'une ampleur et d'une intensité proportionnelles au niveau de désavantage</w:t>
      </w:r>
      <w:r>
        <w:rPr>
          <w:sz w:val="22"/>
          <w:szCs w:val="22"/>
        </w:rPr>
        <w:t xml:space="preserve"> [76]</w:t>
      </w:r>
      <w:r>
        <w:rPr>
          <w:i w:val="false"/>
          <w:iCs w:val="false"/>
          <w:sz w:val="22"/>
          <w:szCs w:val="22"/>
        </w:rPr>
        <w:t xml:space="preserve">.</w:t>
      </w:r>
    </w:p>
    <w:p>
      <w:pPr>
        <w:pStyle w:val="Heading3"/>
        <w:spacing w:after="100" w:before="180"/>
      </w:pPr>
      <w:r>
        <w:t xml:space="preserve">6.2.3. Ce qui est compté existe, et ce qui est compté peut tromper</w:t>
      </w:r>
    </w:p>
    <w:p>
      <w:pPr>
        <w:spacing w:after="140"/>
        <w:jc w:val="both"/>
      </w:pPr>
      <w:r>
        <w:rPr>
          <w:i w:val="false"/>
          <w:iCs w:val="false"/>
          <w:sz w:val="22"/>
          <w:szCs w:val="22"/>
        </w:rPr>
        <w:t xml:space="preserve">Les participants attribuent la rupture des intrants, l'absence de maintenance et le peu d'attention de l'encadrement à un même mécanisme : le dépistage ne figure dans aucun indicateur de la CPN. Ce mécanisme prolonge le précédent : la glycémie est comptée, mais dans un autre programme, celui des maladies chroniques. Ce qui n'est pas compté au titre de la CPN n'y est ni commandé, ni réparé, ni supervisé. Le mentorat clinique conduit dans des districts voisins, qui a fait passer l'évaluation complète des signes de danger de 2,1 % à 84,2 % des consultations</w:t>
      </w:r>
      <w:r>
        <w:rPr>
          <w:sz w:val="22"/>
          <w:szCs w:val="22"/>
        </w:rPr>
        <w:t xml:space="preserve"> [68]</w:t>
      </w:r>
      <w:r>
        <w:rPr>
          <w:i w:val="false"/>
          <w:iCs w:val="false"/>
          <w:sz w:val="22"/>
          <w:szCs w:val="22"/>
        </w:rPr>
        <w:t xml:space="preserve">, montre que ces pratiques dépendent de conditions modifiables et de l'attention qu'on leur porte.</w:t>
      </w:r>
    </w:p>
    <w:p>
      <w:pPr>
        <w:spacing w:after="140"/>
        <w:jc w:val="both"/>
      </w:pPr>
      <w:r>
        <w:rPr>
          <w:i w:val="false"/>
          <w:iCs w:val="false"/>
          <w:sz w:val="22"/>
          <w:szCs w:val="22"/>
        </w:rPr>
        <w:t xml:space="preserve">Le thème du registre comme écran en est le revers. Lorsqu'un contrôle porte sur la complétude d'un registre plutôt que sur l'acte qu'il enregistre, il produit de la complétude. Ce mécanisme est connu en évaluation des politiques : plus un indicateur quantitatif sert à la décision, plus il est exposé aux pressions qui déforment les pratiques qu'il devait mesurer</w:t>
      </w:r>
      <w:r>
        <w:rPr>
          <w:sz w:val="22"/>
          <w:szCs w:val="22"/>
        </w:rPr>
        <w:t xml:space="preserve"> [77]</w:t>
      </w:r>
      <w:r>
        <w:rPr>
          <w:i w:val="false"/>
          <w:iCs w:val="false"/>
          <w:sz w:val="22"/>
          <w:szCs w:val="22"/>
        </w:rPr>
        <w:t xml:space="preserve">. Il rejoint la faible concordance, documentée dans quatre districts rwandais, entre les indicateurs prénatals du système d'information et les registres, avec une surdéclaration majoritaire</w:t>
      </w:r>
      <w:r>
        <w:rPr>
          <w:sz w:val="22"/>
          <w:szCs w:val="22"/>
        </w:rPr>
        <w:t xml:space="preserve"> [69]</w:t>
      </w:r>
      <w:r>
        <w:rPr>
          <w:i w:val="false"/>
          <w:iCs w:val="false"/>
          <w:sz w:val="22"/>
          <w:szCs w:val="22"/>
        </w:rPr>
        <w:t xml:space="preserve">. La portée de ce résultat doit cependant être bornée : il repose principalement sur un entretien, corroboré par une observation, et ne permet aucune estimation de fréquence.</w:t>
      </w:r>
    </w:p>
    <w:p>
      <w:pPr>
        <w:spacing w:after="140"/>
        <w:jc w:val="both"/>
      </w:pPr>
      <w:r>
        <w:rPr>
          <w:i w:val="false"/>
          <w:iCs w:val="false"/>
          <w:sz w:val="22"/>
          <w:szCs w:val="22"/>
        </w:rPr>
        <w:t xml:space="preserve">Ajouter un indicateur ne suffit donc pas : il doit porter sur l'acte et sa suite (mesure réalisée, résultat anormal, référence aboutie) et être vérifié par l'observation, faute de quoi il déplacerait l'écran plutôt qu'il ne le lèverait. Une proposition d'indicateur ou de redevabilité est d'ailleurs formulée par 8 participants.</w:t>
      </w:r>
    </w:p>
    <w:p>
      <w:pPr>
        <w:pStyle w:val="Heading3"/>
        <w:spacing w:after="100" w:before="180"/>
      </w:pPr>
      <w:r>
        <w:t xml:space="preserve">6.2.4. Du signalement à la prise en charge</w:t>
      </w:r>
    </w:p>
    <w:p>
      <w:pPr>
        <w:spacing w:after="140"/>
        <w:jc w:val="both"/>
      </w:pPr>
      <w:r>
        <w:rPr>
          <w:i w:val="false"/>
          <w:iCs w:val="false"/>
          <w:sz w:val="22"/>
          <w:szCs w:val="22"/>
        </w:rPr>
        <w:t xml:space="preserve">La revue inventoriait des facteurs limitants récurrents, formation, équipements, coordination, coût, au Cameroun, en Tanzanie et au Kenya</w:t>
      </w:r>
      <w:r>
        <w:rPr>
          <w:sz w:val="22"/>
          <w:szCs w:val="22"/>
        </w:rPr>
        <w:t xml:space="preserve"> [24-26]</w:t>
      </w:r>
      <w:r>
        <w:rPr>
          <w:i w:val="false"/>
          <w:iCs w:val="false"/>
          <w:sz w:val="22"/>
          <w:szCs w:val="22"/>
        </w:rPr>
        <w:t xml:space="preserve">, sans montrer comment ils s'articulent dans l'expérience professionnelle. Le thème « trouver sans pouvoir suivre » apporte cette articulation. La détection n'a de valeur que si trois maillons tiennent : le transport, la décision du ménage, le retour d'information de l'hôpital. Lorsque l'un cède, les participants décrivent un dépistage qui « s'arrête à la détection ». L'absence de retour d'information, rapportée par 15 participants, rejoint les pratiques sous-optimales de référence urgente rapportées par les prestataires de CPN de 121 centres de santé rwandais</w:t>
      </w:r>
      <w:r>
        <w:rPr>
          <w:sz w:val="22"/>
          <w:szCs w:val="22"/>
        </w:rPr>
        <w:t xml:space="preserve"> [78]</w:t>
      </w:r>
      <w:r>
        <w:rPr>
          <w:i w:val="false"/>
          <w:iCs w:val="false"/>
          <w:sz w:val="22"/>
          <w:szCs w:val="22"/>
        </w:rPr>
        <w:t xml:space="preserve">.</w:t>
      </w:r>
    </w:p>
    <w:p>
      <w:pPr>
        <w:spacing w:after="140"/>
        <w:jc w:val="both"/>
      </w:pPr>
      <w:r>
        <w:rPr>
          <w:i w:val="false"/>
          <w:iCs w:val="false"/>
          <w:sz w:val="22"/>
          <w:szCs w:val="22"/>
        </w:rPr>
        <w:t xml:space="preserve">Au regard du cadre, ces résultats relèvent de l'axe « créer des milieux favorables » et de la stratégie « servir de médiateur » de la Charte d'Ottawa</w:t>
      </w:r>
      <w:r>
        <w:rPr>
          <w:sz w:val="22"/>
          <w:szCs w:val="22"/>
        </w:rPr>
        <w:t xml:space="preserve"> [23]</w:t>
      </w:r>
      <w:r>
        <w:rPr>
          <w:i w:val="false"/>
          <w:iCs w:val="false"/>
          <w:sz w:val="22"/>
          <w:szCs w:val="22"/>
        </w:rPr>
        <w:t xml:space="preserve">, dans leur dimension de coordination et de référence. Ils mettent en évidence deux discontinuités peu traitées par la littérature consultée : la sortie du suivi à l'accouchement, alors que la grossesse peut révéler ces affections pour la première fois et que leur portée excède la période gestationnelle</w:t>
      </w:r>
      <w:r>
        <w:rPr>
          <w:sz w:val="22"/>
          <w:szCs w:val="22"/>
        </w:rPr>
        <w:t xml:space="preserve"> [4,5]</w:t>
      </w:r>
      <w:r>
        <w:rPr>
          <w:i w:val="false"/>
          <w:iCs w:val="false"/>
          <w:sz w:val="22"/>
          <w:szCs w:val="22"/>
        </w:rPr>
        <w:t xml:space="preserve">, et la mobilité des femmes, que l'organisation du suivi, centrée sur le centre plutôt que sur la femme, ne prend pas en compte.</w:t>
      </w:r>
    </w:p>
    <w:p>
      <w:pPr>
        <w:pStyle w:val="Heading3"/>
        <w:spacing w:after="100" w:before="180"/>
      </w:pPr>
      <w:r>
        <w:t xml:space="preserve">6.2.5. Des arrangements locaux, efficaces et fragiles</w:t>
      </w:r>
    </w:p>
    <w:p>
      <w:pPr>
        <w:spacing w:after="140"/>
        <w:jc w:val="both"/>
      </w:pPr>
      <w:r>
        <w:rPr>
          <w:i w:val="false"/>
          <w:iCs w:val="false"/>
          <w:sz w:val="22"/>
          <w:szCs w:val="22"/>
        </w:rPr>
        <w:t xml:space="preserve">La revue concluait que la jonction entre santé maternelle et maladies chroniques reposait sur l'initiative des équipes. Les résultats le confirment : relais assurés par les agents de santé communautaire, affiche dessinée à la main, cahier de suivi après l'accouchement. Le programme national d'agents de santé communautaire dépiste déjà les maladies non transmissibles à domicile</w:t>
      </w:r>
      <w:r>
        <w:rPr>
          <w:sz w:val="22"/>
          <w:szCs w:val="22"/>
        </w:rPr>
        <w:t xml:space="preserve"> [63,64]</w:t>
      </w:r>
      <w:r>
        <w:rPr>
          <w:i w:val="false"/>
          <w:iCs w:val="false"/>
          <w:sz w:val="22"/>
          <w:szCs w:val="22"/>
        </w:rPr>
        <w:t xml:space="preserve">, mais sans articulation documentée avec la CPN ; les participantes qui s'appuient sur ces agents construisent cette articulation elles-mêmes. Ces arrangements réduisent une partie des écarts ; ils déplacent aussi l'inégalité vers une nouvelle ligne de partage, entre les villages qui disposent d'un agent actif et les autres. Elles reposent enfin sur une personne : une initiative qui n'est reconnue par aucun outil officiel disparaît avec celle qui la porte.</w:t>
      </w:r>
    </w:p>
    <w:p>
      <w:pPr>
        <w:pStyle w:val="Heading3"/>
        <w:spacing w:after="100" w:before="180"/>
      </w:pPr>
      <w:r>
        <w:t xml:space="preserve">6.2.6. Une portée reconnue en équité, sans le mot</w:t>
      </w:r>
    </w:p>
    <w:p>
      <w:pPr>
        <w:spacing w:after="140"/>
        <w:jc w:val="both"/>
      </w:pPr>
      <w:r>
        <w:rPr>
          <w:i w:val="false"/>
          <w:iCs w:val="false"/>
          <w:sz w:val="22"/>
          <w:szCs w:val="22"/>
        </w:rPr>
        <w:t xml:space="preserve">Le mot « équité » n'a pas été prononcé par l'enquêteur. Les participants ont pourtant décrit des inégalités d'accès et les ont jugées, le plus souvent, inacceptables (17 participants sur 21). Deux traits de ces jugements méritent discussion. D'abord, la différence est située dans les conditions et non dans les femmes : l'heure d'arrivée, le lieu, le matériel. Cette lecture correspond à la définition de l'équité retenue par l'étude, l'absence de différences systématiques et évitables entre groupes sociaux</w:t>
      </w:r>
      <w:r>
        <w:rPr>
          <w:sz w:val="22"/>
          <w:szCs w:val="22"/>
        </w:rPr>
        <w:t xml:space="preserve"> [51]</w:t>
      </w:r>
      <w:r>
        <w:rPr>
          <w:i w:val="false"/>
          <w:iCs w:val="false"/>
          <w:sz w:val="22"/>
          <w:szCs w:val="22"/>
        </w:rPr>
        <w:t xml:space="preserve">, et à la place que la Charte d'Ottawa donne à l'équité parmi les conditions préalables à la santé</w:t>
      </w:r>
      <w:r>
        <w:rPr>
          <w:sz w:val="22"/>
          <w:szCs w:val="22"/>
        </w:rPr>
        <w:t xml:space="preserve"> [23]</w:t>
      </w:r>
      <w:r>
        <w:rPr>
          <w:i w:val="false"/>
          <w:iCs w:val="false"/>
          <w:sz w:val="22"/>
          <w:szCs w:val="22"/>
        </w:rPr>
        <w:t xml:space="preserve">. Ensuite, 12 participants distinguent une part de l'inégalité qui leur revient, celle de l'explication. Cette double attribution, au système et à soi, indique que la réorientation des services, que la Charte lie à une transformation des attitudes professionnelles</w:t>
      </w:r>
      <w:r>
        <w:rPr>
          <w:sz w:val="22"/>
          <w:szCs w:val="22"/>
        </w:rPr>
        <w:t xml:space="preserve"> [23]</w:t>
      </w:r>
      <w:r>
        <w:rPr>
          <w:i w:val="false"/>
          <w:iCs w:val="false"/>
          <w:sz w:val="22"/>
          <w:szCs w:val="22"/>
        </w:rPr>
        <w:t xml:space="preserve">, trouve chez ces professionnels un point d'appui.</w:t>
      </w:r>
    </w:p>
    <w:p>
      <w:pPr>
        <w:spacing w:after="140"/>
        <w:jc w:val="both"/>
      </w:pPr>
      <w:r>
        <w:rPr>
          <w:i w:val="false"/>
          <w:iCs w:val="false"/>
          <w:sz w:val="22"/>
          <w:szCs w:val="22"/>
        </w:rPr>
        <w:t xml:space="preserve">Une minorité exprime une normalisation ou une résignation (5 participants). Ces positions s'accompagnent, dans les entretiens, d'une expérience longue de la pénurie ou d'une installation récente. Elles rappellent que le jugement d'équité dépend aussi de l'horizon de ce qui paraît possible.</w:t>
      </w:r>
    </w:p>
    <w:p>
      <w:pPr>
        <w:pStyle w:val="Heading2"/>
        <w:spacing w:after="120" w:before="220"/>
      </w:pPr>
      <w:r>
        <w:t xml:space="preserve">6.3. Retour sur le cadre conceptuel</w:t>
      </w:r>
    </w:p>
    <w:p>
      <w:pPr>
        <w:spacing w:after="140"/>
        <w:jc w:val="both"/>
      </w:pPr>
      <w:r>
        <w:rPr>
          <w:i w:val="false"/>
          <w:iCs w:val="false"/>
          <w:sz w:val="22"/>
          <w:szCs w:val="22"/>
        </w:rPr>
        <w:t xml:space="preserve">Le protocole présentait le cadre comme heuristique et révisable. Sur les 80 codes de l'arbre final (hors familles), 33 sont nés du matériau ; ils ne remettent pas en cause l'articulation des deux ensembles (sens et pratiques ; conditions perçues), mais ils suggèrent trois révisions, présentées au tableau XI.</w:t>
      </w:r>
    </w:p>
    <w:p>
      <w:pPr>
        <w:keepNext/>
        <w:spacing w:after="80" w:before="200"/>
      </w:pPr>
      <w:r>
        <w:rPr>
          <w:b/>
          <w:bCs/>
          <w:sz w:val="20"/>
          <w:szCs w:val="20"/>
        </w:rPr>
        <w:t xml:space="preserve">Tableau XI.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l'intrant utilisable et l'intrant accessible à la CPN</w:t>
            </w:r>
          </w:p>
        </w:tc>
        <w:tc>
          <w:tcPr>
            <w:tcW w:type="dxa" w:w="3826"/>
            <w:tcMar>
              <w:top w:type="dxa" w:w="60"/>
              <w:left w:type="dxa" w:w="100"/>
              <w:bottom w:type="dxa" w:w="60"/>
              <w:right w:type="dxa" w:w="100"/>
            </w:tcMar>
          </w:tcPr>
          <w:p>
            <w:r>
              <w:rPr>
                <w:b w:val="false"/>
                <w:bCs w:val="false"/>
                <w:i w:val="false"/>
                <w:iCs w:val="false"/>
                <w:sz w:val="19"/>
                <w:szCs w:val="19"/>
              </w:rPr>
              <w:t xml:space="preserve">Glucomètre au laboratoire ou à la consultation des maladies chroniques ; bandelettes réservées, absentes ou périmées ; appareils en panne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agents de santé communautaire,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spacing w:after="140"/>
        <w:jc w:val="both"/>
      </w:pPr>
      <w:r>
        <w:rPr>
          <w:i w:val="false"/>
          <w:iCs w:val="false"/>
          <w:sz w:val="22"/>
          <w:szCs w:val="22"/>
        </w:rPr>
        <w:t xml:space="preserve">La première révision est la plus directement liée au terrain : le modèle socio-écologique retenu</w:t>
      </w:r>
      <w:r>
        <w:rPr>
          <w:sz w:val="22"/>
          <w:szCs w:val="22"/>
        </w:rPr>
        <w:t xml:space="preserve"> [41]</w:t>
      </w:r>
      <w:r>
        <w:rPr>
          <w:i w:val="false"/>
          <w:iCs w:val="false"/>
          <w:sz w:val="22"/>
          <w:szCs w:val="22"/>
        </w:rPr>
        <w:t xml:space="preserve"> distingue les niveaux, mais il ne permet pas de voir qu'un intrant présent dans le centre peut rester inaccessible au service qui en a besoin. La deuxième situe une articulation communautaire entre le service et le social perçu, là où opèrent les agents de santé communautaire. La troisième fait du dispositif de contrôle une condition systémique à part entière, ce que la Charte n'envisage pas explicitement mais que nos résultats rendent nécessaire pour comprendre la distribution effective du dépistage.</w:t>
      </w:r>
    </w:p>
    <w:p>
      <w:pPr>
        <w:pStyle w:val="Heading2"/>
        <w:spacing w:after="120" w:before="220"/>
      </w:pPr>
      <w:r>
        <w:t xml:space="preserve">6.4. Forces et limites de l'étude</w:t>
      </w:r>
    </w:p>
    <w:p>
      <w:pPr>
        <w:pStyle w:val="Heading3"/>
        <w:spacing w:after="100" w:before="180"/>
      </w:pPr>
      <w:r>
        <w:t xml:space="preserve">6.4.1. Forces</w:t>
      </w:r>
    </w:p>
    <w:p>
      <w:pPr>
        <w:spacing w:after="140"/>
        <w:jc w:val="both"/>
      </w:pPr>
      <w:r>
        <w:rPr>
          <w:i w:val="false"/>
          <w:iCs w:val="false"/>
          <w:sz w:val="22"/>
          <w:szCs w:val="22"/>
        </w:rPr>
        <w:t xml:space="preserve">L'échantillonnage à variation maximale couvre les seize centres du district et chacune des modalités des sept dimensions du tableau II. La puissance informationnelle</w:t>
      </w:r>
      <w:r>
        <w:rPr>
          <w:sz w:val="22"/>
          <w:szCs w:val="22"/>
        </w:rPr>
        <w:t xml:space="preserve"> [44]</w:t>
      </w:r>
      <w:r>
        <w:rPr>
          <w:i w:val="false"/>
          <w:iCs w:val="false"/>
          <w:sz w:val="22"/>
          <w:szCs w:val="22"/>
        </w:rPr>
        <w:t xml:space="preserve"> a été appréciée dimension par dimension, plutôt que par un critère de saturation dont la pertinence a été discutée</w:t>
      </w:r>
      <w:r>
        <w:rPr>
          <w:sz w:val="22"/>
          <w:szCs w:val="22"/>
        </w:rPr>
        <w:t xml:space="preserve"> [45]</w:t>
      </w:r>
      <w:r>
        <w:rPr>
          <w:i w:val="false"/>
          <w:iCs w:val="false"/>
          <w:sz w:val="22"/>
          <w:szCs w:val="22"/>
        </w:rPr>
        <w:t xml:space="preserve">. La crédibilité repose sur la triangulation des entretiens avec l'observation et les données de routine, qui a mis en évidence des concordances autant que des écarts ; l'observation a notamment permis de situer le glucomètre, ce que les entretiens seuls n'auraient pas établi. La fidélité du codage a été contrôlée par un double codage indépendant de 3 entretiens (κ = 0,866) et un recodage intra-codeur de 3 entretiens après quatre semaines (κ = 0,957). Les interprétations ont été soumises à quatre participants volontaires. Ces procédures répondent aux critères de crédibilité, de dépendabilité, de confirmabilité et de transférabilité retenus</w:t>
      </w:r>
      <w:r>
        <w:rPr>
          <w:sz w:val="22"/>
          <w:szCs w:val="22"/>
        </w:rPr>
        <w:t xml:space="preserve"> [46]</w:t>
      </w:r>
      <w:r>
        <w:rPr>
          <w:i w:val="false"/>
          <w:iCs w:val="false"/>
          <w:sz w:val="22"/>
          <w:szCs w:val="22"/>
        </w:rPr>
        <w:t xml:space="preserve">, et le rapportage suit la grille COREQ</w:t>
      </w:r>
      <w:r>
        <w:rPr>
          <w:sz w:val="22"/>
          <w:szCs w:val="22"/>
        </w:rPr>
        <w:t xml:space="preserve"> [47]</w:t>
      </w:r>
      <w:r>
        <w:rPr>
          <w:i w:val="false"/>
          <w:iCs w:val="false"/>
          <w:sz w:val="22"/>
          <w:szCs w:val="22"/>
        </w:rPr>
        <w:t xml:space="preserve">.</w:t>
      </w:r>
    </w:p>
    <w:p>
      <w:pPr>
        <w:pStyle w:val="Heading3"/>
        <w:spacing w:after="100" w:before="180"/>
      </w:pPr>
      <w:r>
        <w:t xml:space="preserve">6.4.2. Limites</w:t>
      </w:r>
    </w:p>
    <w:p>
      <w:pPr>
        <w:spacing w:after="140"/>
        <w:jc w:val="both"/>
      </w:pPr>
      <w:r>
        <w:rPr>
          <w:i w:val="false"/>
          <w:iCs w:val="false"/>
          <w:sz w:val="22"/>
          <w:szCs w:val="22"/>
        </w:rPr>
        <w:t xml:space="preserve">Les résultats portent sur des perceptions et des pratiques déclarées. Les propos des participants sur les femmes sont des représentations professionnelles : ils ne décrivent ni les femmes elles-mêmes, ni leurs pratiques, et le point de vue des femmes reste hors du champ de l'étude. Les pratiques déclarées peuvent s'écarter des pratiques réelles ; l'observation l'a montré dans 2 centres. Une désirabilité sociale est possible, l'étude pouvant être perçue comme une évaluation.</w:t>
      </w:r>
    </w:p>
    <w:p>
      <w:pPr>
        <w:spacing w:after="140"/>
        <w:jc w:val="both"/>
      </w:pPr>
      <w:r>
        <w:rPr>
          <w:i w:val="false"/>
          <w:iCs w:val="false"/>
          <w:sz w:val="22"/>
          <w:szCs w:val="22"/>
        </w:rPr>
        <w:t xml:space="preserve">L'observation, limitée à une demi-journée par centre, est exposée à un effet de la présence de l'observateur sur les pratiques observées</w:t>
      </w:r>
      <w:r>
        <w:rPr>
          <w:sz w:val="22"/>
          <w:szCs w:val="22"/>
        </w:rPr>
        <w:t xml:space="preserve"> [79]</w:t>
      </w:r>
      <w:r>
        <w:rPr>
          <w:i w:val="false"/>
          <w:iCs w:val="false"/>
          <w:sz w:val="22"/>
          <w:szCs w:val="22"/>
        </w:rPr>
        <w:t xml:space="preserve">. Les données de routine, de qualité limitée</w:t>
      </w:r>
      <w:r>
        <w:rPr>
          <w:sz w:val="22"/>
          <w:szCs w:val="22"/>
        </w:rPr>
        <w:t xml:space="preserve"> [69]</w:t>
      </w:r>
      <w:r>
        <w:rPr>
          <w:i w:val="false"/>
          <w:iCs w:val="false"/>
          <w:sz w:val="22"/>
          <w:szCs w:val="22"/>
        </w:rPr>
        <w:t xml:space="preserve">, ne caractérisent que le contexte. La traduction des entretiens conduits en kinyarwanda, langue que le chercheur maîtrise sans qu'elle soit sa langue première, introduit un risque de perte de sens, contrôlé mais non supprimé par la vérification indépendante d'un échantillon de passages. Enfin, l'étude porte sur un seul district : ses résultats ne se généralisent pas, mais la description dense du contexte doit permettre au lecteur d'apprécier leur transférabilité à d'autres districts ruraux.</w:t>
      </w:r>
    </w:p>
    <w:p>
      <w:pPr>
        <w:pStyle w:val="Heading2"/>
        <w:spacing w:after="120" w:before="220"/>
      </w:pPr>
      <w:r>
        <w:t xml:space="preserve">6.5. Implications et recommandations</w:t>
      </w:r>
    </w:p>
    <w:p>
      <w:pPr>
        <w:spacing w:after="140"/>
        <w:jc w:val="both"/>
      </w:pPr>
      <w:r>
        <w:rPr>
          <w:i w:val="false"/>
          <w:iCs w:val="false"/>
          <w:sz w:val="22"/>
          <w:szCs w:val="22"/>
        </w:rPr>
        <w:t xml:space="preserve">Les recommandations suivantes découlent des résultats et des transformations proposées par les participants. Elles sont présentées par destinataire (tableau XII).</w:t>
      </w:r>
    </w:p>
    <w:p>
      <w:pPr>
        <w:keepNext/>
        <w:spacing w:after="80" w:before="200"/>
      </w:pPr>
      <w:r>
        <w:rPr>
          <w:b/>
          <w:bCs/>
          <w:sz w:val="20"/>
          <w:szCs w:val="20"/>
        </w:rPr>
        <w:t xml:space="preserve">Tableau XII. Recommandations par destinataire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126"/>
        <w:gridCol w:w="1700"/>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Destinataire</w:t>
            </w:r>
          </w:p>
        </w:tc>
        <w:tc>
          <w:tcPr>
            <w:tcW w:type="dxa" w:w="5126"/>
            <w:shd w:fill="E8EDF2" w:color="auto" w:val="clear"/>
            <w:tcMar>
              <w:top w:type="dxa" w:w="60"/>
              <w:left w:type="dxa" w:w="100"/>
              <w:bottom w:type="dxa" w:w="60"/>
              <w:right w:type="dxa" w:w="100"/>
            </w:tcMar>
          </w:tcPr>
          <w:p>
            <w:r>
              <w:rPr>
                <w:b/>
                <w:bCs/>
                <w:i w:val="false"/>
                <w:iCs w:val="false"/>
                <w:sz w:val="19"/>
                <w:szCs w:val="19"/>
              </w:rPr>
              <w:t xml:space="preserve">Recommandations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Résultats d'appui</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Direction de la santé du district</w:t>
            </w:r>
          </w:p>
        </w:tc>
        <w:tc>
          <w:tcPr>
            <w:tcW w:type="dxa" w:w="5126"/>
            <w:tcMar>
              <w:top w:type="dxa" w:w="60"/>
              <w:left w:type="dxa" w:w="100"/>
              <w:bottom w:type="dxa" w:w="60"/>
              <w:right w:type="dxa" w:w="100"/>
            </w:tcMar>
          </w:tcPr>
          <w:p>
            <w:r>
              <w:rPr>
                <w:b w:val="false"/>
                <w:bCs w:val="false"/>
                <w:i w:val="false"/>
                <w:iCs w:val="false"/>
                <w:sz w:val="19"/>
                <w:szCs w:val="19"/>
              </w:rPr>
              <w:t xml:space="preserve">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type="dxa" w:w="1700"/>
            <w:tcMar>
              <w:top w:type="dxa" w:w="60"/>
              <w:left w:type="dxa" w:w="100"/>
              <w:bottom w:type="dxa" w:w="60"/>
              <w:right w:type="dxa" w:w="100"/>
            </w:tcMar>
          </w:tcPr>
          <w:p>
            <w:r>
              <w:rPr>
                <w:b w:val="false"/>
                <w:bCs w:val="false"/>
                <w:i w:val="false"/>
                <w:iCs w:val="false"/>
                <w:sz w:val="19"/>
                <w:szCs w:val="19"/>
              </w:rPr>
              <w:t xml:space="preserve">Thèmes 1, 4, 5 et 6</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Responsables des centres de santé</w:t>
            </w:r>
          </w:p>
        </w:tc>
        <w:tc>
          <w:tcPr>
            <w:tcW w:type="dxa" w:w="5126"/>
            <w:tcMar>
              <w:top w:type="dxa" w:w="60"/>
              <w:left w:type="dxa" w:w="100"/>
              <w:bottom w:type="dxa" w:w="60"/>
              <w:right w:type="dxa" w:w="100"/>
            </w:tcMar>
          </w:tcPr>
          <w:p>
            <w:r>
              <w:rPr>
                <w:b w:val="false"/>
                <w:bCs w:val="false"/>
                <w:i w:val="false"/>
                <w:iCs w:val="false"/>
                <w:sz w:val="19"/>
                <w:szCs w:val="19"/>
              </w:rPr>
              <w:t xml:space="preserve">Organiser le circuit « bon de CPN → laboratoire » le matin même ; coordonner la CPN et la consultation des maladies chroniques pour l'usage du glucomètre</w:t>
            </w:r>
          </w:p>
        </w:tc>
        <w:tc>
          <w:tcPr>
            <w:tcW w:type="dxa" w:w="1700"/>
            <w:tcMar>
              <w:top w:type="dxa" w:w="60"/>
              <w:left w:type="dxa" w:w="100"/>
              <w:bottom w:type="dxa" w:w="60"/>
              <w:right w:type="dxa" w:w="100"/>
            </w:tcMar>
          </w:tcPr>
          <w:p>
            <w:r>
              <w:rPr>
                <w:b w:val="false"/>
                <w:bCs w:val="false"/>
                <w:i w:val="false"/>
                <w:iCs w:val="false"/>
                <w:sz w:val="19"/>
                <w:szCs w:val="19"/>
              </w:rPr>
              <w:t xml:space="preserve">Thème 1</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Hôpital de district</w:t>
            </w:r>
          </w:p>
        </w:tc>
        <w:tc>
          <w:tcPr>
            <w:tcW w:type="dxa" w:w="5126"/>
            <w:tcMar>
              <w:top w:type="dxa" w:w="60"/>
              <w:left w:type="dxa" w:w="100"/>
              <w:bottom w:type="dxa" w:w="60"/>
              <w:right w:type="dxa" w:w="100"/>
            </w:tcMar>
          </w:tcPr>
          <w:p>
            <w:r>
              <w:rPr>
                <w:b w:val="false"/>
                <w:bCs w:val="false"/>
                <w:i w:val="false"/>
                <w:iCs w:val="false"/>
                <w:sz w:val="19"/>
                <w:szCs w:val="19"/>
              </w:rPr>
              <w:t xml:space="preserve">Rendre systématique le retour d'information vers le centre pour chaque femme référée ; organiser le suivi après l'accouchement des femmes dépistées</w:t>
            </w:r>
          </w:p>
        </w:tc>
        <w:tc>
          <w:tcPr>
            <w:tcW w:type="dxa" w:w="1700"/>
            <w:tcMar>
              <w:top w:type="dxa" w:w="60"/>
              <w:left w:type="dxa" w:w="100"/>
              <w:bottom w:type="dxa" w:w="60"/>
              <w:right w:type="dxa" w:w="100"/>
            </w:tcMar>
          </w:tcPr>
          <w:p>
            <w:r>
              <w:rPr>
                <w:b w:val="false"/>
                <w:bCs w:val="false"/>
                <w:i w:val="false"/>
                <w:iCs w:val="false"/>
                <w:sz w:val="19"/>
                <w:szCs w:val="19"/>
              </w:rPr>
              <w:t xml:space="preserve">Thème 3</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Équipes de CPN</w:t>
            </w:r>
          </w:p>
        </w:tc>
        <w:tc>
          <w:tcPr>
            <w:tcW w:type="dxa" w:w="5126"/>
            <w:tcMar>
              <w:top w:type="dxa" w:w="60"/>
              <w:left w:type="dxa" w:w="100"/>
              <w:bottom w:type="dxa" w:w="60"/>
              <w:right w:type="dxa" w:w="100"/>
            </w:tcMar>
          </w:tcPr>
          <w:p>
            <w:r>
              <w:rPr>
                <w:b w:val="false"/>
                <w:bCs w:val="false"/>
                <w:i w:val="false"/>
                <w:iCs w:val="false"/>
                <w:sz w:val="19"/>
                <w:szCs w:val="19"/>
              </w:rPr>
              <w:t xml:space="preserve">Vérifier la compréhension en faisant reformuler la femme ; utiliser un support visuel commun ; consacrer davantage de temps d'explication aux femmes qui en ont le plus besoin ; tracer les références</w:t>
            </w:r>
          </w:p>
        </w:tc>
        <w:tc>
          <w:tcPr>
            <w:tcW w:type="dxa" w:w="1700"/>
            <w:tcMar>
              <w:top w:type="dxa" w:w="60"/>
              <w:left w:type="dxa" w:w="100"/>
              <w:bottom w:type="dxa" w:w="60"/>
              <w:right w:type="dxa" w:w="100"/>
            </w:tcMar>
          </w:tcPr>
          <w:p>
            <w:r>
              <w:rPr>
                <w:b w:val="false"/>
                <w:bCs w:val="false"/>
                <w:i w:val="false"/>
                <w:iCs w:val="false"/>
                <w:sz w:val="19"/>
                <w:szCs w:val="19"/>
              </w:rPr>
              <w:t xml:space="preserve">Thème 2</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Formation initiale et continue</w:t>
            </w:r>
          </w:p>
        </w:tc>
        <w:tc>
          <w:tcPr>
            <w:tcW w:type="dxa" w:w="5126"/>
            <w:tcMar>
              <w:top w:type="dxa" w:w="60"/>
              <w:left w:type="dxa" w:w="100"/>
              <w:bottom w:type="dxa" w:w="60"/>
              <w:right w:type="dxa" w:w="100"/>
            </w:tcMar>
          </w:tcPr>
          <w:p>
            <w:r>
              <w:rPr>
                <w:b w:val="false"/>
                <w:bCs w:val="false"/>
                <w:i w:val="false"/>
                <w:iCs w:val="false"/>
                <w:sz w:val="19"/>
                <w:szCs w:val="19"/>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700"/>
            <w:tcMar>
              <w:top w:type="dxa" w:w="60"/>
              <w:left w:type="dxa" w:w="100"/>
              <w:bottom w:type="dxa" w:w="60"/>
              <w:right w:type="dxa" w:w="100"/>
            </w:tcMar>
          </w:tcPr>
          <w:p>
            <w:r>
              <w:rPr>
                <w:b w:val="false"/>
                <w:bCs w:val="false"/>
                <w:i w:val="false"/>
                <w:iCs w:val="false"/>
                <w:sz w:val="19"/>
                <w:szCs w:val="19"/>
              </w:rPr>
              <w:t xml:space="preserve">Thèmes 1 et 2 ; conditions individuelles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Programme de santé communautaire</w:t>
            </w:r>
          </w:p>
        </w:tc>
        <w:tc>
          <w:tcPr>
            <w:tcW w:type="dxa" w:w="5126"/>
            <w:tcMar>
              <w:top w:type="dxa" w:w="60"/>
              <w:left w:type="dxa" w:w="100"/>
              <w:bottom w:type="dxa" w:w="60"/>
              <w:right w:type="dxa" w:w="100"/>
            </w:tcMar>
          </w:tcPr>
          <w:p>
            <w:r>
              <w:rPr>
                <w:b w:val="false"/>
                <w:bCs w:val="false"/>
                <w:i w:val="false"/>
                <w:iCs w:val="false"/>
                <w:sz w:val="19"/>
                <w:szCs w:val="19"/>
              </w:rPr>
              <w:t xml:space="preserve">Appuyer le rôle des agents dans le suivi des femmes référées et après l'accouchement, et reconnaître les outils de suivi créés localement</w:t>
            </w:r>
          </w:p>
        </w:tc>
        <w:tc>
          <w:tcPr>
            <w:tcW w:type="dxa" w:w="1700"/>
            <w:tcMar>
              <w:top w:type="dxa" w:w="60"/>
              <w:left w:type="dxa" w:w="100"/>
              <w:bottom w:type="dxa" w:w="60"/>
              <w:right w:type="dxa" w:w="100"/>
            </w:tcMar>
          </w:tcPr>
          <w:p>
            <w:r>
              <w:rPr>
                <w:b w:val="false"/>
                <w:bCs w:val="false"/>
                <w:i w:val="false"/>
                <w:iCs w:val="false"/>
                <w:sz w:val="19"/>
                <w:szCs w:val="19"/>
              </w:rPr>
              <w:t xml:space="preserve">Thème 7</w:t>
            </w:r>
          </w:p>
        </w:tc>
      </w:tr>
    </w:tbl>
    <w:p>
      <w:pPr>
        <w:spacing w:after="200" w:before="60"/>
      </w:pPr>
      <w:r>
        <w:rPr>
          <w:i/>
          <w:iCs/>
          <w:color w:val="555555"/>
          <w:sz w:val="18"/>
          <w:szCs w:val="18"/>
        </w:rPr>
        <w:t xml:space="preserve">Source : chapitre 5 (thèmes 1 à 7 et transformations proposées par les participants).</w:t>
      </w:r>
    </w:p>
    <w:p>
      <w:pPr>
        <w:pStyle w:val="Heading2"/>
        <w:spacing w:after="120" w:before="220"/>
      </w:pPr>
      <w:r>
        <w:t xml:space="preserve">6.6. Perspectives de recherche</w:t>
      </w:r>
    </w:p>
    <w:p>
      <w:pPr>
        <w:spacing w:after="140"/>
        <w:jc w:val="both"/>
      </w:pPr>
      <w:r>
        <w:rPr>
          <w:i w:val="false"/>
          <w:iCs w:val="false"/>
          <w:sz w:val="22"/>
          <w:szCs w:val="22"/>
        </w:rPr>
        <w:t xml:space="preserve">Trois prolongements paraissent prioritaires. Le premier est de recueillir le point de vue des femmes sur l'explication qu'elles reçoivent, pour confronter la modulation décrite par les prestataires à l'expérience de celles qui la reçoivent. Le deuxième est une étude quantitative de la couverture effective du dépistage glycémique chez les femmes enceintes, à partir des registres des laboratoires des centres de santé, qui permettrait de vérifier l'hypothèse d'un sous-dépistage contribuant aux faibles prévalences rapportées. Le troisième est une étude de suivi des femmes dépistées après l'accouchement, pour documenter la discontinuité que les participants placent au premier rang de leurs préoccupations.</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Tudor Hart J. The inverse care law. Lancet. 1971;1(7696):405-12.</w:t>
      </w:r>
    </w:p>
    <w:p>
      <w:pPr>
        <w:spacing w:after="80"/>
        <w:ind w:left="567" w:hanging="567"/>
      </w:pPr>
      <w:r>
        <w:rPr>
          <w:sz w:val="20"/>
          <w:szCs w:val="20"/>
        </w:rPr>
        <w:t xml:space="preserve">74.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75.	Lipsky M. Street-level bureaucracy: dilemmas of the individual in public services. New York: Russell Sage Foundation; 1980.</w:t>
      </w:r>
    </w:p>
    <w:p>
      <w:pPr>
        <w:spacing w:after="80"/>
        <w:ind w:left="567" w:hanging="567"/>
      </w:pPr>
      <w:r>
        <w:rPr>
          <w:sz w:val="20"/>
          <w:szCs w:val="20"/>
        </w:rPr>
        <w:t xml:space="preserve">76.	Marmot M, Allen J, Goldblatt P, Boyce T, McNeish D, Grady M, et al. Fair society, healthy lives: the Marmot Review. London: The Marmot Review; 2010.</w:t>
      </w:r>
    </w:p>
    <w:p>
      <w:pPr>
        <w:spacing w:after="80"/>
        <w:ind w:left="567" w:hanging="567"/>
      </w:pPr>
      <w:r>
        <w:rPr>
          <w:sz w:val="20"/>
          <w:szCs w:val="20"/>
        </w:rPr>
        <w:t xml:space="preserve">77.	Campbell DT. Assessing the impact of planned social change. Eval Program Plann. 1979;2(1):67-90.</w:t>
      </w:r>
    </w:p>
    <w:p>
      <w:pPr>
        <w:spacing w:after="80"/>
        <w:ind w:left="567" w:hanging="567"/>
      </w:pPr>
      <w:r>
        <w:rPr>
          <w:sz w:val="20"/>
          <w:szCs w:val="20"/>
        </w:rPr>
        <w:t xml:space="preserve">78.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79.	McCambridge J, Witton J, Elbourne DR. Systematic review of the Hawthorne effect: new concepts are needed to study research participation effects. J Clin Epidemiol. 2014;67(3):267-77.</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2026-10-02T08:19:00.190Z</dcterms:created>
  <dcterms:modified xsi:type="dcterms:W3CDTF">2026-10-02T08:19:00.190Z</dcterms:modified>
</cp:coreProperties>
</file>

<file path=docProps/custom.xml><?xml version="1.0" encoding="utf-8"?>
<Properties xmlns="http://schemas.openxmlformats.org/officeDocument/2006/custom-properties" xmlns:vt="http://schemas.openxmlformats.org/officeDocument/2006/docPropsVTypes"/>
</file>