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8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Dédicace et remerciements personnels : rédigés selon vos choix du 7 octobre 2026, sans aucun nom propre ; à relire, et à compléter si vous souhaitez nommer votre épouse, vos enfants, vos parents ou d'autres proches (père décédé, mère en vie : précisé par l'auteur le 7 octobre 2026). Hommages aux membres du jury : à écrire après sa désignation, les noms n'étant connus qu'à ce moment.</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Liste du personnel de l'École : reprise de la liste officielle du Master transmise par l'auteur (année académique 2024-2025), sur une page, en tableau (11 pt, interligne simple) ; l'intitulé complet de l'École figure sur la page de garde. Vérifier qu'elle est à jour pour l'année du dépôt. Fonction de la Pr Fanny HOUNKPONOU AHOUINGNAN mise à jour selon l'auteur (7 octobre 2026) : directrice de l'ENATSE, comme sur la page de garde et dans l'hommage ; la ligne « Directeur : Pr Thierry Armel ADOUKONOU » de la liste de juillet 2025 a été retirée (il reste cité parmi les enseignants vacataires).</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Protocole révisé du 3 octobre 2026 (deux fichiers : avec suivi des modifications, et version propre) : il reporte toutes les décisions déjà intégrées au mémoire (quinze centres retenus et pré-test dans le seizième ; centres nommés ; périmètre de la CPN ; entretiens notés sans enregistrement ni transcripteur ; rubriques A bis et B bis de la grille ; relances du guide ; carte du NISR ; coquille « capacitances » ; durée de l'entretien harmonisée à soixante minutes, soixante-quinze au plus ; budget ramené à 410 000 RWF (enregistreur et transcription retirés ; licence NVivo maintenue)) et décrit le circuit de la glycémie en introduction. À soumettre à la direction de mémoire puis au comité d'éthique AVANT toute collecte ; les formulaires signés sur le terrain doivent être ceux du protocole révisé</w:t>
      </w:r>
    </w:p>
    <w:p>
      <w:pPr>
        <w:pStyle w:val="ListParagraph"/>
        <w:numPr>
          <w:ilvl w:val="0"/>
          <w:numId w:val="1"/>
        </w:numPr>
        <w:spacing w:after="80"/>
      </w:pPr>
      <w:r>
        <w:rPr>
          <w:sz w:val="22"/>
          <w:szCs w:val="22"/>
        </w:rPr>
        <w:t xml:space="preserve">Périmètre de la CPN : la phrase du protocole initial « la consultation prénatale n'est assurée qu'au niveau des centres de santé ; les postes de santé n'en dispensent pas et l'hôpital n'organise pas de service prénatal [21] » n'a pu être confirmée par aucune source ; le protocole révisé et le mémoire écrivent, d'après Mulungi et al. (2023, texte intégral vérifié dans PubMed, désormais référence 72 du protocole), que la CPN de base est offerte dans les centres et les postes de santé, et que l'étude porte sur les centres de santé. La capacité de 312 lits citée au § 4.1.2 [21] figure sur la page « Overview » du site de l'hôpital de Kibungo (relevée par un moteur de recherche le 3 octobre 2026, la page elle-même étant inaccessible depuis l'outil de rédaction) : la vérifier sur la page</w:t>
      </w:r>
    </w:p>
    <w:p>
      <w:pPr>
        <w:pStyle w:val="ListParagraph"/>
        <w:numPr>
          <w:ilvl w:val="0"/>
          <w:numId w:val="1"/>
        </w:numPr>
        <w:spacing w:after="80"/>
      </w:pPr>
      <w:r>
        <w:rPr>
          <w:sz w:val="22"/>
          <w:szCs w:val="22"/>
        </w:rPr>
        <w:t xml:space="preserve">Centres nommés (décision de l'auteur du 3 octobre 2026) : le § 4.1.2 du protocole révisé et du mémoire nomme les seize centres de santé du district (Gasetsa, Gashanda, Giraneza, Jarama, Karembo, Kazo, Kibungo, Kigina, Kirwa, Mutenderi, Nkanga, Nyange, Remera, Rubona, Rukira, Zaza), liste fournie par l'auteur (Gashanda : ancien poste devenu centre de santé, selon l'auteur), sans qu'aucun résultat, citation ou code y soit rattaché ; le guide (introduction) et le consentement (points 6 et 10) sont adaptés. Faire valider par la direction de mémoire et le comité d'éthique, et confirmer la liste par écrit auprès de la Direction de la santé du district (annexe 6, étape 2). Les centres sont seulement nommés, sans leur secteur administratif (décision de l'auteur)</w:t>
      </w:r>
    </w:p>
    <w:p>
      <w:pPr>
        <w:pStyle w:val="ListParagraph"/>
        <w:numPr>
          <w:ilvl w:val="0"/>
          <w:numId w:val="1"/>
        </w:numPr>
        <w:spacing w:after="80"/>
      </w:pPr>
      <w:r>
        <w:rPr>
          <w:sz w:val="22"/>
          <w:szCs w:val="22"/>
        </w:rPr>
        <w:t xml:space="preserve">Glycémie de la première CPN demandée par la CPN pour toutes les femmes et réalisée par le laboratoire ; en urgence, glucomètre propre à la CPN quand il existe, sinon appel au laborantin ou passage de la femme au laboratoire ; test interrompu par les ruptures de bandelettes, les pannes, l'absence du laborantin ou l'arrêt des prélèvements à midi : réalités de terrain rapportées par l'auteur, intégrées aux données d'entraînement. Aucune source publiée consultée ne les décrit : Schmidt et al. (2021) indiquent seulement que le diabète figure parmi les affections recherchées chez toutes à la première CPN au registre de maternité ; Meharry et al. (2019) écrivent que le dépistage du diabète gestationnel n'est pas systématique ; les directives nationales de CPN (RBC, 2021), selon les résumés consultés, décrivent un dépistage par bandelette urinaire orienté par les facteurs de risque. La phrase de la discussion qui le dit (§ 6.2.1) est à vérifier sur le texte des directives, et la pratique à documenter par l'observation réelle (rubrique B bis) ; chercher une note ou circulaire du RBC qui l'aurait instaurée.</w:t>
      </w:r>
    </w:p>
    <w:p>
      <w:pPr>
        <w:pStyle w:val="ListParagraph"/>
        <w:numPr>
          <w:ilvl w:val="0"/>
          <w:numId w:val="1"/>
        </w:numPr>
        <w:spacing w:after="80"/>
      </w:pPr>
      <w:r>
        <w:rPr>
          <w:sz w:val="22"/>
          <w:szCs w:val="22"/>
        </w:rPr>
        <w:t xml:space="preserve">Autosurveillance à domicile (tensiomètre ou glucomètre achetés par des femmes de ménages aisés après le diagnostic) : réalité de terrain rapportée par l'auteur, intégrée aux entretiens (code G15) ; aucune source rwandaise trouvée ; la discussion s'appuie sur deux sources non rwandaises vérifiées dans PubMed (Munyungula et Shakwane, 2021, Afrique du Sud : le coût du tensiomètre freine l'autosurveillance des femmes pauvres ; Klatman et al., 2019 : glucomètres et bandelettes chers et rares dans les pays à ressources limitées). Ajouter une relance après Q13 du guide d'entretien pour la documenter.</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les citations longues en retrait (12 pt, interligne simple) et la liste des références (14 pt, interligne simple dans une référence) font exception : à confronter au document des règles de rédaction de l'ENATSE.</w:t>
      </w:r>
    </w:p>
    <w:p>
      <w:pPr>
        <w:pStyle w:val="ListParagraph"/>
        <w:numPr>
          <w:ilvl w:val="0"/>
          <w:numId w:val="1"/>
        </w:numPr>
        <w:spacing w:after="80"/>
      </w:pPr>
      <w:r>
        <w:rPr>
          <w:sz w:val="22"/>
          <w:szCs w:val="22"/>
        </w:rPr>
        <w:t xml:space="preserve">Limite de 72 pages : le mémoire complet en compte 72, de la page de garde à l'abstract, annexes comprises (corps de l'introduction à la conclusion : 37 pages). Pour y tenir, 47 paragraphes et 3 intertitres des chapitres 1 à 3 du protocole ne sont pas repris ou sont résumés (listes CONDENSATION et TITRES_CONDENSES dans faire-memoire.mjs), les méthodes telles que conduites (§ 4.2.5 à 4.2.7), les résultats et la discussion sont resserrés, le tableau des jugements d'équité n'est plus reproduit (ses effectifs figurent dans le texte), et ni le tableau de cohérence (annexe 8 du protocole) ni le modèle d'engagement de confidentialité (annexe 7 du protocole, auquel le consentement renvoie) ne sont reproduits : à valider avec la direction de mémoire.</w:t>
      </w:r>
    </w:p>
    <w:p>
      <w:pPr>
        <w:pStyle w:val="ListParagraph"/>
        <w:numPr>
          <w:ilvl w:val="0"/>
          <w:numId w:val="1"/>
        </w:numPr>
        <w:spacing w:after="80"/>
      </w:pPr>
      <w:r>
        <w:rPr>
          <w:sz w:val="22"/>
          <w:szCs w:val="22"/>
        </w:rPr>
        <w:t xml:space="preserve">Entretiens sans enregistrement audio : décrits au § 4.2.5-4.2.7 du protocole révisé et du mémoire ; guide, consentement, engagement de confidentialité, registre des consentements, projet d'analyse d'entraînement (mémo de fidélité des notes) et kit de terrain sont adaptés (plus d'enregistreur, de transcripteur ni d'accord d'enregistrement). Une troisième limite (perte du verbatim) est ajoutée au § 4.2.6 du protocole</w:t>
      </w:r>
    </w:p>
    <w:p>
      <w:pPr>
        <w:pStyle w:val="ListParagraph"/>
        <w:numPr>
          <w:ilvl w:val="0"/>
          <w:numId w:val="1"/>
        </w:numPr>
        <w:spacing w:after="80"/>
      </w:pPr>
      <w:r>
        <w:rPr>
          <w:sz w:val="22"/>
          <w:szCs w:val="22"/>
        </w:rPr>
        <w:t xml:space="preserve">Rubrique « Glycémie de la première CPN » (B bis : faite ou non, motif, rattrapage, données de service sans relevé nominatif) : inscrite dans la grille d'observation du protocole révisé (annexe 2) ; à faire valider</w:t>
      </w:r>
    </w:p>
    <w:p>
      <w:pPr>
        <w:pStyle w:val="ListParagraph"/>
        <w:numPr>
          <w:ilvl w:val="0"/>
          <w:numId w:val="1"/>
        </w:numPr>
        <w:spacing w:after="80"/>
      </w:pPr>
      <w:r>
        <w:rPr>
          <w:sz w:val="22"/>
          <w:szCs w:val="22"/>
        </w:rPr>
        <w:t xml:space="preserve">Rubrique « Séance d'éducation collective » (A bis) : inscrite dans la grille du protocole révisé, avec une garde éthique ajoutée au § 4.2.7 et dans l'annexe 2 (observée seulement avec l'accord de l'animateur, les femmes présentes en étant informées oralement, sans aucune donnée sur elles) ; à faire valider par le comité d'éthique, qui peut exiger davantage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73 à 95,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Période de collecte (§ 4.2.5.3 du protocole : 11 août au 30 septembre 2026) et chronogramme : dates à actualiser selon la date réelle des approbations, la collecte ne pouvant commencer qu'après elles.</w:t>
      </w:r>
    </w:p>
    <w:p>
      <w:pPr>
        <w:pStyle w:val="ListParagraph"/>
        <w:numPr>
          <w:ilvl w:val="0"/>
          <w:numId w:val="1"/>
        </w:numPr>
        <w:spacing w:after="80"/>
      </w:pPr>
      <w:r>
        <w:rPr>
          <w:sz w:val="22"/>
          <w:szCs w:val="22"/>
        </w:rPr>
        <w:t xml:space="preserve">Logiciel d'analyse : NVivo, nommé dans le protocole, le mémoire et le rapport (décision de l'auteur : QualiCode, qui fonctionne comme NVivo mais n'a pas d'homologation scientifique, sert à l'entraînement). L'analyse réelle doit donc être conduite dans NVivo, ou le projet y être transféré (export REFI-QDA) avant l'analyse et l'archivage.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2026-10-07T15:36:21.445Z</dcterms:created>
  <dcterms:modified xsi:type="dcterms:W3CDTF">2026-10-07T15:36:21.445Z</dcterms:modified>
</cp:coreProperties>
</file>

<file path=docProps/custom.xml><?xml version="1.0" encoding="utf-8"?>
<Properties xmlns="http://schemas.openxmlformats.org/officeDocument/2006/custom-properties" xmlns:vt="http://schemas.openxmlformats.org/officeDocument/2006/docPropsVTypes"/>
</file>