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80"/>
        <w:jc w:val="both"/>
      </w:pPr>
      <w:r>
        <w:rPr>
          <w:i w:val="false"/>
          <w:iCs w:val="false"/>
          <w:sz w:val="22"/>
          <w:szCs w:val="22"/>
        </w:rPr>
        <w:t xml:space="preserve">La tension est mesurée à chaque visite et la glycémie est demandée pour toutes au premier contact et faite au laboratoire ; mais ce test saute les jours de rupture de bandelettes, de panne ou d'absence du laborantin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8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CPN demande la glycémie capillaire pour toutes au premier contact, et le laboratoire la réalise ; la CPN ne la fait elle-même qu'en urgence, quand elle dispose d'un glucomètre. Ce qui la limite n'est donc ni la règle ni la technique, mais la continuité des intrants, de la maintenance et de la présence du laborantin. La décentralisation des soins chroniques, prolongée par le mentorat d'infirmiers de centres de santé</w:t>
      </w:r>
      <w:r>
        <w:rPr>
          <w:sz w:val="22"/>
          <w:szCs w:val="22"/>
        </w:rPr>
        <w:t xml:space="preserve"> [73]</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[75]</w:t>
      </w:r>
      <w:r>
        <w:rPr>
          <w:i w:val="false"/>
          <w:iCs w:val="false"/>
          <w:sz w:val="22"/>
          <w:szCs w:val="22"/>
        </w:rPr>
        <w:t xml:space="preserve"> : un test universel mais intermittent laisse passer des femmes que rien ne rattrape.</w:t>
      </w:r>
    </w:p>
    <w:p>
      <w:pPr>
        <w:spacing w:after="8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[76]</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[77]</w:t>
      </w:r>
      <w:r>
        <w:rPr>
          <w:i w:val="false"/>
          <w:iCs w:val="false"/>
          <w:sz w:val="22"/>
          <w:szCs w:val="22"/>
        </w:rPr>
        <w:t xml:space="preserve">. Deux limites tiennent à l'organisation. La première est la continuité : une rupture de bandelettes, une panne ou l'absence d'un laborantin souvent seul suffit à interrompre le test, sans relais en CPN là où elle n'a ni glucomètre ni personne formée,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[78]</w:t>
      </w:r>
      <w:r>
        <w:rPr>
          <w:i w:val="false"/>
          <w:iCs w:val="false"/>
          <w:sz w:val="22"/>
          <w:szCs w:val="22"/>
        </w:rPr>
        <w:t xml:space="preserve">.</w:t>
      </w:r>
    </w:p>
    <w:p>
      <w:pPr>
        <w:pStyle w:val="Heading3"/>
        <w:spacing w:after="100" w:before="180"/>
      </w:pPr>
      <w:r>
        <w:t xml:space="preserve">6.2.2. Le prestataire, opérateur concret de l'équité</w:t>
      </w:r>
    </w:p>
    <w:p>
      <w:pPr>
        <w:spacing w:after="8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[10,75]</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[79]</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[80]</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[81]</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[82]</w:t>
      </w:r>
      <w:r>
        <w:rPr>
          <w:i w:val="false"/>
          <w:iCs w:val="false"/>
          <w:sz w:val="22"/>
          <w:szCs w:val="22"/>
        </w:rPr>
        <w:t xml:space="preserve"> ; les contre-pratiques décrites rejoignent l'universalisme proportionné</w:t>
      </w:r>
      <w:r>
        <w:rPr>
          <w:sz w:val="22"/>
          <w:szCs w:val="22"/>
        </w:rPr>
        <w:t xml:space="preserve"> [83]</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[84]</w:t>
      </w:r>
      <w:r>
        <w:rPr>
          <w:i w:val="false"/>
          <w:iCs w:val="false"/>
          <w:sz w:val="22"/>
          <w:szCs w:val="22"/>
        </w:rPr>
        <w:t xml:space="preserve">, et les glucomètres et leurs bandelettes restent chers et peu accessibles dans les pays à ressources limitées</w:t>
      </w:r>
      <w:r>
        <w:rPr>
          <w:sz w:val="22"/>
          <w:szCs w:val="22"/>
        </w:rPr>
        <w:t xml:space="preserve"> [74]</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[85]</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8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[86]</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rémunère des volumes de services, dont la première CPN précoce et les quatre visites</w:t>
      </w:r>
      <w:r>
        <w:rPr>
          <w:sz w:val="22"/>
          <w:szCs w:val="22"/>
        </w:rPr>
        <w:t xml:space="preserve"> [76]</w:t>
      </w:r>
      <w:r>
        <w:rPr>
          <w:i w:val="false"/>
          <w:iCs w:val="false"/>
          <w:sz w:val="22"/>
          <w:szCs w:val="22"/>
        </w:rPr>
        <w:t xml:space="preserve">, avec un effet plus net sur les services les mieux payés et les moins exigeants</w:t>
      </w:r>
      <w:r>
        <w:rPr>
          <w:sz w:val="22"/>
          <w:szCs w:val="22"/>
        </w:rPr>
        <w:t xml:space="preserve"> [87]</w:t>
      </w:r>
      <w:r>
        <w:rPr>
          <w:i w:val="false"/>
          <w:iCs w:val="false"/>
          <w:sz w:val="22"/>
          <w:szCs w:val="22"/>
        </w:rPr>
        <w:t xml:space="preserve">. La détection n'a de valeur que si la référence aboutit : les facteurs limitants inventoriés ailleurs</w:t>
      </w:r>
      <w:r>
        <w:rPr>
          <w:sz w:val="22"/>
          <w:szCs w:val="22"/>
        </w:rPr>
        <w:t xml:space="preserve"> [24-26]</w:t>
      </w:r>
      <w:r>
        <w:rPr>
          <w:i w:val="false"/>
          <w:iCs w:val="false"/>
          <w:sz w:val="22"/>
          <w:szCs w:val="22"/>
        </w:rPr>
        <w:t xml:space="preserve"> forment ici une chaîne — transport, décision du ménage, retour d'information — dont les ASM, chargées de repérer les femmes enceintes et de les orienter</w:t>
      </w:r>
      <w:r>
        <w:rPr>
          <w:sz w:val="22"/>
          <w:szCs w:val="22"/>
        </w:rPr>
        <w:t xml:space="preserve"> [88]</w:t>
      </w:r>
      <w:r>
        <w:rPr>
          <w:i w:val="false"/>
          <w:iCs w:val="false"/>
          <w:sz w:val="22"/>
          <w:szCs w:val="22"/>
        </w:rPr>
        <w:t xml:space="preserve">, assurent parfois le dernier maillon ; au Rwanda, moins de la moitié des prestataires citaient la prééclampsie parmi les motifs de référence urgente</w:t>
      </w:r>
      <w:r>
        <w:rPr>
          <w:sz w:val="22"/>
          <w:szCs w:val="22"/>
        </w:rPr>
        <w:t xml:space="preserve"> [82]</w:t>
      </w:r>
      <w:r>
        <w:rPr>
          <w:i w:val="false"/>
          <w:iCs w:val="false"/>
          <w:sz w:val="22"/>
          <w:szCs w:val="22"/>
        </w:rPr>
        <w:t xml:space="preserve">, et 82 % des décès maternels d'un hôpital de référence concernaient des femmes référées</w:t>
      </w:r>
      <w:r>
        <w:rPr>
          <w:sz w:val="22"/>
          <w:szCs w:val="22"/>
        </w:rPr>
        <w:t xml:space="preserve"> [89]</w:t>
      </w:r>
      <w:r>
        <w:rPr>
          <w:i w:val="false"/>
          <w:iCs w:val="false"/>
          <w:sz w:val="22"/>
          <w:szCs w:val="22"/>
        </w:rPr>
        <w:t xml:space="preserve">, alors que le suivi s'interrompt à l'accouchement</w:t>
      </w:r>
      <w:r>
        <w:rPr>
          <w:sz w:val="22"/>
          <w:szCs w:val="22"/>
        </w:rPr>
        <w:t xml:space="preserve"> [4,5]</w:t>
      </w:r>
      <w:r>
        <w:rPr>
          <w:i w:val="false"/>
          <w:iCs w:val="false"/>
          <w:sz w:val="22"/>
          <w:szCs w:val="22"/>
        </w:rPr>
        <w:t xml:space="preserve">. Les dispositifs nationaux jouent dans les deux sens : la venue attendue du conjoint retarde des femmes</w:t>
      </w:r>
      <w:r>
        <w:rPr>
          <w:sz w:val="22"/>
          <w:szCs w:val="22"/>
        </w:rPr>
        <w:t xml:space="preserve"> [57]</w:t>
      </w:r>
      <w:r>
        <w:rPr>
          <w:i w:val="false"/>
          <w:iCs w:val="false"/>
          <w:sz w:val="22"/>
          <w:szCs w:val="22"/>
        </w:rPr>
        <w:t xml:space="preserve">, alors qu'à l'échelle nationale 41 % commencent la CPN après le premier trimestre</w:t>
      </w:r>
      <w:r>
        <w:rPr>
          <w:sz w:val="22"/>
          <w:szCs w:val="22"/>
        </w:rPr>
        <w:t xml:space="preserve"> [72]</w:t>
      </w:r>
      <w:r>
        <w:rPr>
          <w:i w:val="false"/>
          <w:iCs w:val="false"/>
          <w:sz w:val="22"/>
          <w:szCs w:val="22"/>
        </w:rPr>
        <w:t xml:space="preserve"> ; les aides de l'ubudehe</w:t>
      </w:r>
      <w:r>
        <w:rPr>
          <w:sz w:val="22"/>
          <w:szCs w:val="22"/>
        </w:rPr>
        <w:t xml:space="preserve"> [61,62,90]</w:t>
      </w:r>
      <w:r>
        <w:rPr>
          <w:i w:val="false"/>
          <w:iCs w:val="false"/>
          <w:sz w:val="22"/>
          <w:szCs w:val="22"/>
        </w:rPr>
        <w:t xml:space="preserve"> rapprochent les plus pauvres, au risque d'un effet de seuil ; l'alerte téléphonique des ASM a fait progresser les accouchements en établissement</w:t>
      </w:r>
      <w:r>
        <w:rPr>
          <w:sz w:val="22"/>
          <w:szCs w:val="22"/>
        </w:rPr>
        <w:t xml:space="preserve"> [91]</w:t>
      </w:r>
      <w:r>
        <w:rPr>
          <w:i w:val="false"/>
          <w:iCs w:val="false"/>
          <w:sz w:val="22"/>
          <w:szCs w:val="22"/>
        </w:rPr>
        <w:t xml:space="preserve"> mais reste un outil d'urgence ; les campagnes de dépistage des MNT</w:t>
      </w:r>
      <w:r>
        <w:rPr>
          <w:sz w:val="22"/>
          <w:szCs w:val="22"/>
        </w:rPr>
        <w:t xml:space="preserve"> [92]</w:t>
      </w:r>
      <w:r>
        <w:rPr>
          <w:i w:val="false"/>
          <w:iCs w:val="false"/>
          <w:sz w:val="22"/>
          <w:szCs w:val="22"/>
        </w:rPr>
        <w:t xml:space="preserve"> ne sont pas reliées à la CPN ; l'umugoroba w'ababyeyi</w:t>
      </w:r>
      <w:r>
        <w:rPr>
          <w:sz w:val="22"/>
          <w:szCs w:val="22"/>
        </w:rPr>
        <w:t xml:space="preserve"> [93]</w:t>
      </w:r>
      <w:r>
        <w:rPr>
          <w:i w:val="false"/>
          <w:iCs w:val="false"/>
          <w:sz w:val="22"/>
          <w:szCs w:val="22"/>
        </w:rPr>
        <w:t xml:space="preserve"> offrirait un relais vers les maris et les familles.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8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80"/>
        <w:jc w:val="both"/>
      </w:pPr>
      <w:r>
        <w:rPr>
          <w:i w:val="false"/>
          <w:iCs w:val="false"/>
          <w:sz w:val="22"/>
          <w:szCs w:val="22"/>
        </w:rPr>
        <w:t xml:space="preserve">Sur les 91 codes de l'arbre final, 44 sont nés du matériau. Ils ne remettent pas en cause les deux ensembles du cadre, mais appellent quatre révisions (tableau VII),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 et des observations.</w:t>
      </w:r>
    </w:p>
    <w:p>
      <w:pPr>
        <w:keepNext/>
        <w:spacing w:after="80" w:before="200"/>
      </w:pPr>
      <w:r>
        <w:rPr>
          <w:b/>
          <w:bCs/>
          <w:sz w:val="20"/>
          <w:szCs w:val="20"/>
        </w:rPr>
        <w:t xml:space="preserve">Tableau VII.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au laboratoire, le relais en CPN,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laborantin absent, aucun prélèvement après midi ; glucomètre d'urgence en CPN dans certains centres seulement ; femme manquée non rappelée ; glycémie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8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8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[94]</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[95]</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73.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74.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75.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76.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77.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78.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79.	Tudor Hart J. The inverse care law. Lancet. 1971;1(7696):405-12.</w:t>
      </w:r>
    </w:p>
    <w:p>
      <w:pPr>
        <w:spacing w:after="80"/>
        <w:ind w:left="567" w:hanging="567"/>
      </w:pPr>
      <w:r>
        <w:rPr>
          <w:sz w:val="20"/>
          <w:szCs w:val="20"/>
        </w:rPr>
        <w:t xml:space="preserve">80.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81.	Lipsky M. Street-level bureaucracy: dilemmas of the individual in public services. New York: Russell Sage Foundation; 1980.</w:t>
      </w:r>
    </w:p>
    <w:p>
      <w:pPr>
        <w:spacing w:after="80"/>
        <w:ind w:left="567" w:hanging="567"/>
      </w:pPr>
      <w:r>
        <w:rPr>
          <w:sz w:val="20"/>
          <w:szCs w:val="20"/>
        </w:rPr>
        <w:t xml:space="preserve">82.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83.	Marmot M, Allen J, Goldblatt P, Boyce T, McNeish D, Grady M, et al. Fair society, healthy lives: the Marmot Review. London: The Marmot Review; 2010.</w:t>
      </w:r>
    </w:p>
    <w:p>
      <w:pPr>
        <w:spacing w:after="80"/>
        <w:ind w:left="567" w:hanging="567"/>
      </w:pPr>
      <w:r>
        <w:rPr>
          <w:sz w:val="20"/>
          <w:szCs w:val="20"/>
        </w:rPr>
        <w:t xml:space="preserve">84.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85.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86.	Campbell DT. Assessing the impact of planned social change. Eval Program Plann. 1979;2(1):67-90.</w:t>
      </w:r>
    </w:p>
    <w:p>
      <w:pPr>
        <w:spacing w:after="80"/>
        <w:ind w:left="567" w:hanging="567"/>
      </w:pPr>
      <w:r>
        <w:rPr>
          <w:sz w:val="20"/>
          <w:szCs w:val="20"/>
        </w:rPr>
        <w:t xml:space="preserve">87.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88.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89.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90.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91.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92.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93.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94.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95.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074dcf40338638f12cc5d9aca039993f1a05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2026-10-03T09:12:13.036Z</dcterms:created>
  <dcterms:modified xsi:type="dcterms:W3CDTF">2026-10-03T09:12:13.036Z</dcterms:modified>
</cp:coreProperties>
</file>

<file path=docProps/custom.xml><?xml version="1.0" encoding="utf-8"?>
<Properties xmlns="http://schemas.openxmlformats.org/officeDocument/2006/custom-properties" xmlns:vt="http://schemas.openxmlformats.org/officeDocument/2006/docPropsVTypes"/>
</file>