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80"/>
      </w:pPr>
      <w:r>
        <w:t xml:space="preserve">LISTE DE CONTRÔLE AVANT DÉPÔT</w:t>
      </w:r>
    </w:p>
    <w:p>
      <w:pPr>
        <w:spacing w:after="80"/>
        <w:jc w:val="both"/>
      </w:pPr>
      <w:r>
        <w:rPr>
          <w:i w:val="false"/>
          <w:iCs w:val="false"/>
          <w:sz w:val="22"/>
          <w:szCs w:val="22"/>
        </w:rPr>
        <w:t xml:space="preserve">Version d'entraînement : les entretiens, observations et données de routine sont fictifs. Avant le dépôt, le mémoire est réécrit à partir des données recueillies sur le terrain (dossier kit-donnees-reelles), puis cette liste est parcourue point par point.</w:t>
      </w:r>
    </w:p>
    <w:p>
      <w:pPr>
        <w:pStyle w:val="Heading2"/>
        <w:spacing w:after="120" w:before="220"/>
      </w:pPr>
      <w:r>
        <w:t xml:space="preserve">Ce qui reste à compléter</w:t>
      </w:r>
    </w:p>
    <w:p>
      <w:pPr>
        <w:pStyle w:val="ListParagraph"/>
        <w:numPr>
          <w:ilvl w:val="0"/>
          <w:numId w:val="1"/>
        </w:numPr>
        <w:spacing w:after="80"/>
      </w:pPr>
      <w:r>
        <w:rPr>
          <w:sz w:val="22"/>
          <w:szCs w:val="22"/>
        </w:rPr>
        <w:t xml:space="preserve">Liste du personnel de l'École : à recopier depuis la liste officielle de l'ENATSE de l'année du dépôt.</w:t>
      </w:r>
    </w:p>
    <w:p>
      <w:pPr>
        <w:pStyle w:val="ListParagraph"/>
        <w:numPr>
          <w:ilvl w:val="0"/>
          <w:numId w:val="1"/>
        </w:numPr>
        <w:spacing w:after="80"/>
      </w:pPr>
      <w:r>
        <w:rPr>
          <w:sz w:val="22"/>
          <w:szCs w:val="22"/>
        </w:rPr>
        <w:t xml:space="preserve">Dédicace, et hommages aux membres du jury : à écrire soi-même ; les noms du jury ne sont connus qu'après sa désignation.</w:t>
      </w:r>
    </w:p>
    <w:p>
      <w:pPr>
        <w:pStyle w:val="ListParagraph"/>
        <w:numPr>
          <w:ilvl w:val="0"/>
          <w:numId w:val="1"/>
        </w:numPr>
        <w:spacing w:after="80"/>
      </w:pPr>
      <w:r>
        <w:rPr>
          <w:sz w:val="22"/>
          <w:szCs w:val="22"/>
        </w:rPr>
        <w:t xml:space="preserve">Annexe 6 et § 4.2.7 : numéros et dates de l'approbation du comité d'éthique et de l'autorisation du district — jamais inventés, recopiés des documents reçus.</w:t>
      </w:r>
    </w:p>
    <w:p>
      <w:pPr>
        <w:pStyle w:val="ListParagraph"/>
        <w:numPr>
          <w:ilvl w:val="0"/>
          <w:numId w:val="1"/>
        </w:numPr>
        <w:spacing w:after="80"/>
      </w:pPr>
      <w:r>
        <w:rPr>
          <w:sz w:val="22"/>
          <w:szCs w:val="22"/>
        </w:rPr>
        <w:t xml:space="preserve">Annexe 5 : versions kinyarwanda et anglaise des outils issues de la traduction et de la rétro-traduction.</w:t>
      </w:r>
    </w:p>
    <w:p>
      <w:pPr>
        <w:pStyle w:val="ListParagraph"/>
        <w:numPr>
          <w:ilvl w:val="0"/>
          <w:numId w:val="1"/>
        </w:numPr>
        <w:spacing w:after="80"/>
      </w:pPr>
      <w:r>
        <w:rPr>
          <w:sz w:val="22"/>
          <w:szCs w:val="22"/>
        </w:rPr>
        <w:t xml:space="preserve">Note de positionnalité : la question laissée entre crochets (exercice antérieur dans le district de Ngoma).</w:t>
      </w:r>
    </w:p>
    <w:p>
      <w:pPr>
        <w:pStyle w:val="ListParagraph"/>
        <w:numPr>
          <w:ilvl w:val="0"/>
          <w:numId w:val="1"/>
        </w:numPr>
        <w:spacing w:after="80"/>
      </w:pPr>
      <w:r>
        <w:rPr>
          <w:sz w:val="22"/>
          <w:szCs w:val="22"/>
        </w:rPr>
        <w:t xml:space="preserve">Extraits d'entretien : le protocole prévoit leur reproduction dans les deux langues (langue source et traduction). Dans l'exercice, seule la traduction française figure ; avec les données réelles, ajouter la version source de chaque extrait.</w:t>
      </w:r>
    </w:p>
    <w:p>
      <w:pPr>
        <w:pStyle w:val="Heading2"/>
        <w:spacing w:after="120" w:before="220"/>
      </w:pPr>
      <w:r>
        <w:t xml:space="preserve">Ce qui reste à vérifier</w:t>
      </w:r>
    </w:p>
    <w:p>
      <w:pPr>
        <w:pStyle w:val="ListParagraph"/>
        <w:numPr>
          <w:ilvl w:val="0"/>
          <w:numId w:val="1"/>
        </w:numPr>
        <w:spacing w:after="80"/>
      </w:pPr>
      <w:r>
        <w:rPr>
          <w:sz w:val="22"/>
          <w:szCs w:val="22"/>
        </w:rPr>
        <w:t xml:space="preserve">Figure 2 : carte administrative officielle du profil du district de Ngoma (NISR, recensement 2022, page xi, figure 1.1), citée en source et en bibliographie ; l'image (figures/carte_ngoma_nisr.jpg) reste hors du dépôt, comme les autres figures.</w:t>
      </w:r>
    </w:p>
    <w:p>
      <w:pPr>
        <w:pStyle w:val="ListParagraph"/>
        <w:numPr>
          <w:ilvl w:val="0"/>
          <w:numId w:val="1"/>
        </w:numPr>
        <w:spacing w:after="80"/>
      </w:pPr>
      <w:r>
        <w:rPr>
          <w:sz w:val="22"/>
          <w:szCs w:val="22"/>
        </w:rPr>
        <w:t xml:space="preserve">Protocole révisé du 3 octobre 2026 (deux fichiers : avec suivi des modifications, et version propre) : il reporte toutes les décisions déjà intégrées au mémoire (quinze centres retenus et pré-test dans le seizième ; centres nommés ; périmètre de la CPN ; entretiens notés sans enregistrement ni transcripteur ; QualiCode au lieu de NVivo ; rubriques A bis et B bis de la grille ; relances du guide ; carte du NISR ; coquille « capacitances » ; durée de l'entretien harmonisée à soixante minutes, soixante-quinze au plus ; budget ramené à 360 000 RWF) et décrit le circuit de la glycémie en introduction. À soumettre à la direction de mémoire puis au comité d'éthique AVANT toute collecte ; les formulaires signés sur le terrain doivent être ceux du protocole révisé</w:t>
      </w:r>
    </w:p>
    <w:p>
      <w:pPr>
        <w:pStyle w:val="ListParagraph"/>
        <w:numPr>
          <w:ilvl w:val="0"/>
          <w:numId w:val="1"/>
        </w:numPr>
        <w:spacing w:after="80"/>
      </w:pPr>
      <w:r>
        <w:rPr>
          <w:sz w:val="22"/>
          <w:szCs w:val="22"/>
        </w:rPr>
        <w:t xml:space="preserve">Périmètre de la CPN : la phrase du protocole initial « la consultation prénatale n'est assurée qu'au niveau des centres de santé ; les postes de santé n'en dispensent pas et l'hôpital n'organise pas de service prénatal [21] » n'a pu être confirmée par aucune source ; le protocole révisé et le mémoire écrivent, d'après Mulungi et al. (2023, texte intégral vérifié dans PubMed, désormais référence 72 du protocole), que la CPN de base est offerte dans les centres et les postes de santé, et que l'étude porte sur les centres de santé. La capacité de 312 lits citée au § 4.1.2 [21] figure sur la page « Overview » du site de l'hôpital de Kibungo (relevée par un moteur de recherche le 3 octobre 2026, la page elle-même étant inaccessible depuis l'outil de rédaction) : la vérifier sur la page</w:t>
      </w:r>
    </w:p>
    <w:p>
      <w:pPr>
        <w:pStyle w:val="ListParagraph"/>
        <w:numPr>
          <w:ilvl w:val="0"/>
          <w:numId w:val="1"/>
        </w:numPr>
        <w:spacing w:after="80"/>
      </w:pPr>
      <w:r>
        <w:rPr>
          <w:sz w:val="22"/>
          <w:szCs w:val="22"/>
        </w:rPr>
        <w:t xml:space="preserve">Centres nommés (décision de l'auteur du 3 octobre 2026) : le § 4.1.2 du protocole révisé et du mémoire nomme les seize centres de santé du district (Gasetsa, Gashanda, Giraneza, Jarama, Karembo, Kazo, Kibungo, Kigina, Kirwa, Mutenderi, Nkanga, Nyange, Remera, Rubona, Rukira, Zaza), liste fournie par l'auteur (Gashanda : ancien poste devenu centre de santé, selon l'auteur), sans qu'aucun résultat, citation ou code y soit rattaché ; le guide (introduction) et le consentement (points 6 et 10) sont adaptés. Faire valider par la direction de mémoire et le comité d'éthique, et confirmer la liste par écrit auprès de la Direction de la santé du district (annexe 6, étape 2). Le secteur administratif de chaque centre n'est pas mentionné : seul Gasetsa a été situé en ligne (secteur Remera, cellule Ndekwe, d'après une carte en ligne) ; Kirwa n'est rattaché au secteur Murama que par un résumé de recherche ; les autres sont à confirmer par l'auteur</w:t>
      </w:r>
    </w:p>
    <w:p>
      <w:pPr>
        <w:pStyle w:val="ListParagraph"/>
        <w:numPr>
          <w:ilvl w:val="0"/>
          <w:numId w:val="1"/>
        </w:numPr>
        <w:spacing w:after="80"/>
      </w:pPr>
      <w:r>
        <w:rPr>
          <w:sz w:val="22"/>
          <w:szCs w:val="22"/>
        </w:rPr>
        <w:t xml:space="preserve">Glycémie de la première CPN demandée par la CPN pour toutes les femmes et réalisée par le laboratoire ; en urgence, glucomètre propre à la CPN quand il existe, sinon appel au laborantin ou passage de la femme au laboratoire ; test interrompu par les ruptures de bandelettes, les pannes, l'absence du laborantin ou l'arrêt des prélèvements à midi : réalités de terrain rapportées par l'auteur, intégrées aux données d'entraînement. Aucune source publiée consultée ne les décrit : Schmidt et al. (2021) indiquent seulement que le diabète figure parmi les affections recherchées chez toutes à la première CPN au registre de maternité ; Meharry et al. (2019) écrivent que le dépistage du diabète gestationnel n'est pas systématique ; les directives nationales de CPN (RBC, 2021), selon les résumés consultés, décrivent un dépistage par bandelette urinaire orienté par les facteurs de risque. La phrase de la discussion qui le dit (§ 6.2.1) est à vérifier sur le texte des directives, et la pratique à documenter par l'observation réelle (rubrique B bis) ; chercher une note ou circulaire du RBC qui l'aurait instaurée.</w:t>
      </w:r>
    </w:p>
    <w:p>
      <w:pPr>
        <w:pStyle w:val="ListParagraph"/>
        <w:numPr>
          <w:ilvl w:val="0"/>
          <w:numId w:val="1"/>
        </w:numPr>
        <w:spacing w:after="80"/>
      </w:pPr>
      <w:r>
        <w:rPr>
          <w:sz w:val="22"/>
          <w:szCs w:val="22"/>
        </w:rPr>
        <w:t xml:space="preserve">Autosurveillance à domicile (tensiomètre ou glucomètre achetés par des femmes de ménages aisés après le diagnostic) : réalité de terrain rapportée par l'auteur, intégrée aux entretiens (code G15) ; aucune source rwandaise trouvée ; la discussion s'appuie sur deux sources non rwandaises vérifiées dans PubMed (Munyungula et Shakwane, 2021, Afrique du Sud : le coût du tensiomètre freine l'autosurveillance des femmes pauvres ; Klatman et al., 2019 : glucomètres et bandelettes chers et rares dans les pays à ressources limitées). Ajouter une relance après Q13 du guide d'entretien pour la documenter.</w:t>
      </w:r>
    </w:p>
    <w:p>
      <w:pPr>
        <w:pStyle w:val="ListParagraph"/>
        <w:numPr>
          <w:ilvl w:val="0"/>
          <w:numId w:val="1"/>
        </w:numPr>
        <w:spacing w:after="80"/>
      </w:pPr>
      <w:r>
        <w:rPr>
          <w:sz w:val="22"/>
          <w:szCs w:val="22"/>
        </w:rPr>
        <w:t xml:space="preserve">Mise en forme appliquée à tout le document (Times New Roman 14, interligne 1,5, marges de 2,5 cm et 3 cm à gauche), pages liminaires, listes des tableaux et des figures (chacune sur sa page), références et annexes comprises ; seuls le contenu des tableaux (11 pt, interligne simple), les mentions de source (11 pt), les citations longues en retrait (12 pt, interligne simple) et la liste des références (14 pt, interligne simple dans une référence) font exception : à confronter au document des règles de rédaction de l'ENATSE.</w:t>
      </w:r>
    </w:p>
    <w:p>
      <w:pPr>
        <w:pStyle w:val="ListParagraph"/>
        <w:numPr>
          <w:ilvl w:val="0"/>
          <w:numId w:val="1"/>
        </w:numPr>
        <w:spacing w:after="80"/>
      </w:pPr>
      <w:r>
        <w:rPr>
          <w:sz w:val="22"/>
          <w:szCs w:val="22"/>
        </w:rPr>
        <w:t xml:space="preserve">Limite de 72 pages : le mémoire complet en compte 72, de la page de garde à l'abstract, annexes comprises (corps de l'introduction à la conclusion : 37 pages). Pour y tenir, 47 paragraphes et 3 intertitres des chapitres 1 à 3 du protocole ne sont pas repris ou sont résumés (listes CONDENSATION et TITRES_CONDENSES dans faire-memoire.mjs), les méthodes telles que conduites (§ 4.2.5 à 4.2.7), les résultats et la discussion sont resserrés, le tableau des jugements d'équité n'est plus reproduit (ses effectifs figurent dans le texte), et ni le tableau de cohérence (annexe 8 du protocole) ni le modèle d'engagement de confidentialité (annexe 7 du protocole, auquel le consentement renvoie) ne sont reproduits : à valider avec la direction de mémoire.</w:t>
      </w:r>
    </w:p>
    <w:p>
      <w:pPr>
        <w:pStyle w:val="ListParagraph"/>
        <w:numPr>
          <w:ilvl w:val="0"/>
          <w:numId w:val="1"/>
        </w:numPr>
        <w:spacing w:after="80"/>
      </w:pPr>
      <w:r>
        <w:rPr>
          <w:sz w:val="22"/>
          <w:szCs w:val="22"/>
        </w:rPr>
        <w:t xml:space="preserve">Entretiens sans enregistrement audio : décrits au § 4.2.5-4.2.7 du protocole révisé et du mémoire ; guide, consentement, engagement de confidentialité, registre des consentements, projet QualiCode (mémo de fidélité des notes) et kit de terrain sont adaptés (plus d'enregistreur, de transcripteur ni d'accord d'enregistrement). Une troisième limite (perte du verbatim) est ajoutée au § 4.2.6 du protocole</w:t>
      </w:r>
    </w:p>
    <w:p>
      <w:pPr>
        <w:pStyle w:val="ListParagraph"/>
        <w:numPr>
          <w:ilvl w:val="0"/>
          <w:numId w:val="1"/>
        </w:numPr>
        <w:spacing w:after="80"/>
      </w:pPr>
      <w:r>
        <w:rPr>
          <w:sz w:val="22"/>
          <w:szCs w:val="22"/>
        </w:rPr>
        <w:t xml:space="preserve">Rubrique « Glycémie de la première CPN » (B bis : faite ou non, motif, rattrapage, données de service sans relevé nominatif) : inscrite dans la grille d'observation du protocole révisé (annexe 2) ; à faire valider</w:t>
      </w:r>
    </w:p>
    <w:p>
      <w:pPr>
        <w:pStyle w:val="ListParagraph"/>
        <w:numPr>
          <w:ilvl w:val="0"/>
          <w:numId w:val="1"/>
        </w:numPr>
        <w:spacing w:after="80"/>
      </w:pPr>
      <w:r>
        <w:rPr>
          <w:sz w:val="22"/>
          <w:szCs w:val="22"/>
        </w:rPr>
        <w:t xml:space="preserve">Rubrique « Séance d'éducation collective » (A bis) : inscrite dans la grille du protocole révisé, avec une garde éthique ajoutée au § 4.2.7 et dans l'annexe 2 (observée seulement avec l'accord de l'animateur, les femmes présentes en étant informées oralement, sans aucune donnée sur elles) ; à faire valider par le comité d'éthique, qui peut exiger davantage ; la fréquence de deux à trois séances par semaine vient de l'information de terrain de l'auteur et sera documentée par l'observation réelle</w:t>
      </w:r>
    </w:p>
    <w:p>
      <w:pPr>
        <w:pStyle w:val="ListParagraph"/>
        <w:numPr>
          <w:ilvl w:val="0"/>
          <w:numId w:val="1"/>
        </w:numPr>
        <w:spacing w:after="80"/>
      </w:pPr>
      <w:r>
        <w:rPr>
          <w:sz w:val="22"/>
          <w:szCs w:val="22"/>
        </w:rPr>
        <w:t xml:space="preserve">Référence Shisha Kibondo (Rwanda Biomedical Centre) : titre exact de la page à vérifier ; catégories ubudehe réformées en 2020 : vérifier les montants de prime en vigueur avant de les citer.</w:t>
      </w:r>
    </w:p>
    <w:p>
      <w:pPr>
        <w:pStyle w:val="ListParagraph"/>
        <w:numPr>
          <w:ilvl w:val="0"/>
          <w:numId w:val="1"/>
        </w:numPr>
        <w:spacing w:after="80"/>
      </w:pPr>
      <w:r>
        <w:rPr>
          <w:sz w:val="22"/>
          <w:szCs w:val="22"/>
        </w:rPr>
        <w:t xml:space="preserve">Références 73 à 95, ajoutées pendant la rédaction : les articles indexés ont été vérifiés dans PubMed le 2 octobre 2026 (auteurs, revue, volume, pages, DOI) ; restent à vérifier sur pièce les ouvrages et rapports (Lipsky, Marmot, directives du RBC de 2021) et le rapport final de l'EDS 2025, dont les chiffres ont été relevés par l'API du programme DHS. Une affirmation antérieure attribuée à Rurangirwa et al. (2018), absente de l'article, a été retirée.</w:t>
      </w:r>
    </w:p>
    <w:p>
      <w:pPr>
        <w:pStyle w:val="ListParagraph"/>
        <w:numPr>
          <w:ilvl w:val="0"/>
          <w:numId w:val="1"/>
        </w:numPr>
        <w:spacing w:after="80"/>
      </w:pPr>
      <w:r>
        <w:rPr>
          <w:sz w:val="22"/>
          <w:szCs w:val="22"/>
        </w:rPr>
        <w:t xml:space="preserve">Nombre de centres de santé du district : le protocole en compte seize ; une étude de 2015 en recensait douze, et l'annuaire statistique du Ministère de la Santé 2023-2024 compte 44 formations sanitaires dans le district, postes de santé compris. Confirmer la liste actuelle auprès de la direction de la santé du district avant la collecte.</w:t>
      </w:r>
    </w:p>
    <w:p>
      <w:pPr>
        <w:pStyle w:val="ListParagraph"/>
        <w:numPr>
          <w:ilvl w:val="0"/>
          <w:numId w:val="1"/>
        </w:numPr>
        <w:spacing w:after="80"/>
      </w:pPr>
      <w:r>
        <w:rPr>
          <w:sz w:val="22"/>
          <w:szCs w:val="22"/>
        </w:rPr>
        <w:t xml:space="preserve">Annexe 9 : le tableau des repères réels cite le Health Labour Market Analysis Report du Ministère de la Santé pour la norme de 21 agents par centre ; en compléter l'année et la référence exacte.</w:t>
      </w:r>
    </w:p>
    <w:p>
      <w:pPr>
        <w:pStyle w:val="ListParagraph"/>
        <w:numPr>
          <w:ilvl w:val="0"/>
          <w:numId w:val="1"/>
        </w:numPr>
        <w:spacing w:after="80"/>
      </w:pPr>
      <w:r>
        <w:rPr>
          <w:sz w:val="22"/>
          <w:szCs w:val="22"/>
        </w:rPr>
        <w:t xml:space="preserve">Chiffres nationaux cités dans la discussion (STEPS 2022 [16] : 87,0 % des femmes jamais testées pour la glycémie, 38 % jamais pour la tension ; Meharry 2019 [27] : protocole national de 2012 et prévalence de 3,2 %) : relevés dans les résumés publiés ; les confirmer dans le texte intégral.</w:t>
      </w:r>
    </w:p>
    <w:p>
      <w:pPr>
        <w:pStyle w:val="ListParagraph"/>
        <w:numPr>
          <w:ilvl w:val="0"/>
          <w:numId w:val="1"/>
        </w:numPr>
        <w:spacing w:after="80"/>
      </w:pPr>
      <w:r>
        <w:rPr>
          <w:sz w:val="22"/>
          <w:szCs w:val="22"/>
        </w:rPr>
        <w:t xml:space="preserve">Figure 3 (cadre conceptuel révisé) : proposition issue des résultats de l'entraînement ; avec les données réelles, le cadre révisé sera à reconstruire à partir des codes inductifs réels.</w:t>
      </w:r>
    </w:p>
    <w:p>
      <w:pPr>
        <w:pStyle w:val="ListParagraph"/>
        <w:numPr>
          <w:ilvl w:val="0"/>
          <w:numId w:val="1"/>
        </w:numPr>
        <w:spacing w:after="80"/>
      </w:pPr>
      <w:r>
        <w:rPr>
          <w:sz w:val="22"/>
          <w:szCs w:val="22"/>
        </w:rPr>
        <w:t xml:space="preserve">QualiCode au lieu de NVivo (§ 4.2.6 et budget du protocole révisé ; QualiCode en accès libre jusqu'au 31 décembre 2027) : à faire valider par la direction de mémoire</w:t>
      </w:r>
    </w:p>
    <w:p>
      <w:pPr>
        <w:pStyle w:val="ListParagraph"/>
        <w:numPr>
          <w:ilvl w:val="0"/>
          <w:numId w:val="1"/>
        </w:numPr>
        <w:spacing w:after="80"/>
      </w:pPr>
      <w:r>
        <w:rPr>
          <w:sz w:val="22"/>
          <w:szCs w:val="22"/>
        </w:rPr>
        <w:t xml:space="preserve">Période de collecte (§ 4.2.5.3 du protocole : 11 août au 30 septembre 2026) et chronogramme : dates à actualiser selon la date réelle des approbations, la collecte ne pouvant commencer qu'après elles.</w:t>
      </w:r>
    </w:p>
    <w:p>
      <w:pPr>
        <w:pStyle w:val="ListParagraph"/>
        <w:numPr>
          <w:ilvl w:val="0"/>
          <w:numId w:val="1"/>
        </w:numPr>
        <w:spacing w:after="80"/>
      </w:pPr>
      <w:r>
        <w:rPr>
          <w:sz w:val="22"/>
          <w:szCs w:val="22"/>
        </w:rPr>
        <w:t xml:space="preserve">Sommaire et table des matières : déjà remplis dans le fichier livré ; après toute modification, les mettre à jour dans Word (clic droit → Mettre à jour les champs).</w:t>
      </w:r>
    </w:p>
    <w:sectPr>
      <w:pgSz w:w="11906" w:h="16838" w:orient="portrait"/>
      <w:pgMar w:top="1418" w:right="1418" w:bottom="1418" w:left="1701" w:header="709" w:footer="709"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after="120" w:line="360" w:lineRule="auto"/>
        <w:jc w:val="both"/>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360" w:line="360" w:lineRule="auto"/>
      <w:jc w:val="left"/>
      <w:outlineLvl w:val="0"/>
    </w:pPr>
    <w:rPr>
      <w:rFonts w:ascii="Times New Roman" w:cs="Times New Roman" w:eastAsia="Times New Roman" w:hAnsi="Times New Roman"/>
      <w:b/>
      <w:bCs/>
      <w:i w:val="false"/>
      <w:iCs w:val="false"/>
      <w:color w:val="000000"/>
      <w:sz w:val="28"/>
      <w:szCs w:val="28"/>
    </w:rPr>
  </w:style>
  <w:style w:type="paragraph" w:styleId="Heading2">
    <w:name w:val="Heading 2"/>
    <w:basedOn w:val="Normal"/>
    <w:next w:val="Normal"/>
    <w:qFormat/>
    <w:pPr>
      <w:keepNext/>
      <w:keepLines/>
      <w:spacing w:after="120" w:before="240" w:line="360" w:lineRule="auto"/>
      <w:jc w:val="left"/>
      <w:outlineLvl w:val="1"/>
    </w:pPr>
    <w:rPr>
      <w:rFonts w:ascii="Times New Roman" w:cs="Times New Roman" w:eastAsia="Times New Roman" w:hAnsi="Times New Roman"/>
      <w:b/>
      <w:bCs/>
      <w:i w:val="false"/>
      <w:iCs w:val="false"/>
      <w:color w:val="000000"/>
      <w:sz w:val="28"/>
      <w:szCs w:val="28"/>
    </w:rPr>
  </w:style>
  <w:style w:type="paragraph" w:styleId="Heading3">
    <w:name w:val="Heading 3"/>
    <w:basedOn w:val="Normal"/>
    <w:next w:val="Normal"/>
    <w:qFormat/>
    <w:pPr>
      <w:keepNext/>
      <w:keepLines/>
      <w:spacing w:after="120" w:before="180" w:line="360" w:lineRule="auto"/>
      <w:jc w:val="left"/>
      <w:outlineLvl w:val="2"/>
    </w:pPr>
    <w:rPr>
      <w:rFonts w:ascii="Times New Roman" w:cs="Times New Roman" w:eastAsia="Times New Roman" w:hAnsi="Times New Roman"/>
      <w:b/>
      <w:bCs/>
      <w:i/>
      <w:iCs/>
      <w:color w:val="000000"/>
      <w:sz w:val="28"/>
      <w:szCs w:val="28"/>
    </w:rPr>
  </w:style>
  <w:style w:type="paragraph" w:styleId="Compact">
    <w:name w:val="Texte compact"/>
    <w:basedOn w:val="Normal"/>
    <w:next w:val="Compact"/>
    <w:qFormat/>
    <w:pPr>
      <w:spacing w:after="80" w:line="360" w:lineRule="auto"/>
      <w:jc w:val="left"/>
    </w:pPr>
    <w:rPr>
      <w:rFonts w:ascii="Times New Roman" w:cs="Times New Roman" w:eastAsia="Times New Roman" w:hAnsi="Times New Roman"/>
      <w:sz w:val="28"/>
      <w:szCs w:val="28"/>
    </w:rPr>
  </w:style>
  <w:style w:type="paragraph" w:styleId="CompactTitre">
    <w:name w:val="Titre compact"/>
    <w:basedOn w:val="Compact"/>
    <w:next w:val="Compact"/>
    <w:qFormat/>
    <w:pPr>
      <w:keepNext/>
      <w:spacing w:after="80" w:before="160"/>
      <w:jc w:val="left"/>
    </w:pPr>
    <w:rPr>
      <w:b/>
      <w:bCs/>
    </w:rPr>
  </w:style>
  <w:style w:type="paragraph" w:styleId="Bibliographie">
    <w:name w:val="Bibliographie"/>
    <w:basedOn w:val="Normal"/>
    <w:next w:val="Bibliographie"/>
    <w:qFormat/>
    <w:pPr>
      <w:spacing w:after="20" w:line="240" w:lineRule="auto"/>
      <w:ind w:left="567" w:hanging="567"/>
      <w:jc w:val="left"/>
    </w:pPr>
    <w:rPr>
      <w:rFonts w:ascii="Times New Roman" w:cs="Times New Roman" w:eastAsia="Times New Roman" w:hAnsi="Times New Roman"/>
      <w:sz w:val="28"/>
      <w:szCs w:val="28"/>
    </w:rPr>
  </w:style>
  <w:style w:type="paragraph" w:styleId="TOC1">
    <w:name w:val="toc 1"/>
    <w:basedOn w:val="Normal"/>
    <w:next w:val="Normal"/>
    <w:pPr>
      <w:spacing w:after="0" w:line="360" w:lineRule="auto"/>
      <w:ind w:left="0"/>
      <w:jc w:val="left"/>
    </w:pPr>
    <w:rPr>
      <w:rFonts w:ascii="Times New Roman" w:cs="Times New Roman" w:eastAsia="Times New Roman" w:hAnsi="Times New Roman"/>
      <w:sz w:val="28"/>
      <w:szCs w:val="28"/>
    </w:rPr>
  </w:style>
  <w:style w:type="paragraph" w:styleId="TOC2">
    <w:name w:val="toc 2"/>
    <w:basedOn w:val="Normal"/>
    <w:next w:val="Normal"/>
    <w:pPr>
      <w:spacing w:after="0" w:line="360" w:lineRule="auto"/>
      <w:ind w:left="240"/>
      <w:jc w:val="left"/>
    </w:pPr>
    <w:rPr>
      <w:rFonts w:ascii="Times New Roman" w:cs="Times New Roman" w:eastAsia="Times New Roman" w:hAnsi="Times New Roman"/>
      <w:sz w:val="28"/>
      <w:szCs w:val="28"/>
    </w:rPr>
  </w:style>
  <w:style w:type="paragraph" w:styleId="TOC3">
    <w:name w:val="toc 3"/>
    <w:basedOn w:val="Normal"/>
    <w:next w:val="Normal"/>
    <w:pPr>
      <w:spacing w:after="0" w:line="360" w:lineRule="auto"/>
      <w:ind w:left="480"/>
      <w:jc w:val="left"/>
    </w:pPr>
    <w:rPr>
      <w:rFonts w:ascii="Times New Roman" w:cs="Times New Roman" w:eastAsia="Times New Roman" w:hAnsi="Times New Roman"/>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2026-10-03T09:12:13.897Z</dcterms:created>
  <dcterms:modified xsi:type="dcterms:W3CDTF">2026-10-03T09:12:13.897Z</dcterms:modified>
</cp:coreProperties>
</file>

<file path=docProps/custom.xml><?xml version="1.0" encoding="utf-8"?>
<Properties xmlns="http://schemas.openxmlformats.org/officeDocument/2006/custom-properties" xmlns:vt="http://schemas.openxmlformats.org/officeDocument/2006/docPropsVTypes"/>
</file>