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Vendre pendant une coupure d'Internet</w:t>
      </w:r>
    </w:p>
    <w:p>
      <w:r>
        <w:t xml:space="preserve">Laissez la page </w:t>
      </w:r>
      <w:r>
        <w:rPr>
          <w:i/>
        </w:rPr>
        <w:t xml:space="preserve">Caisse</w:t>
      </w:r>
      <w:r>
        <w:t xml:space="preserve"> ouverte : elle garde sur l'ordinateur le catalogue, les prix et le stock vendable, et se met à jour toute seule tant qu'il y a du réseau.</w:t>
      </w:r>
    </w:p>
    <w:p>
      <w:r>
        <w:rPr>
          <w:b/>
        </w:rPr>
        <w:t xml:space="preserve">Pendant la coupure</w:t>
      </w:r>
      <w:r>
        <w:t xml:space="preserve">, un bandeau « Hors connexion » s'affiche. Continuez de vendre comme d'habitude : la recherche, le ticket, les espèces en dollars ou en francs, le Mobile Money (avec sa référence) et la carte fonctionnent. Chaque vente est gardée sur l'ordinateur avec un numéro provisoire (HL-…). La caisse ne vend que les lots qui ne seront pas périmés, et retire elle-même du stock ce qu'elle vient de vendre. Le crédit client et le tiers payant attendent le retour du réseau. Même si vous rechargez la page, la caisse reste disponible.</w:t>
      </w:r>
    </w:p>
    <w:p>
      <w:r>
        <w:rPr>
          <w:b/>
        </w:rPr>
        <w:t xml:space="preserve">Au retour du réseau</w:t>
      </w:r>
      <w:r>
        <w:t xml:space="preserve">, les ventes partent toutes seules, à leur heure réelle, sans jamais être comptées deux fois. Si l'une ne peut pas être enregistrée — par exemple parce que le dernier flacon a été vendu par un autre poste pendant la coupure — elle reste affichée « à régulariser » : corrigez le stock puis </w:t>
      </w:r>
      <w:r>
        <w:rPr>
          <w:b/>
        </w:rPr>
        <w:t xml:space="preserve">Réessayer</w:t>
      </w:r>
      <w:r>
        <w:t xml:space="preserve">, ou </w:t>
      </w:r>
      <w:r>
        <w:rPr>
          <w:b/>
        </w:rPr>
        <w:t xml:space="preserve">Abandonner</w:t>
      </w:r>
      <w:r>
        <w:t xml:space="preserve"> après l'avoir notée.</w:t>
      </w:r>
    </w:p>
    <w:p>
      <w:r>
        <w:t xml:space="preserve">La caisse ne peut pas être clôturée tant que des ventes faites hors connexion n'ont pas été envoyées. Après 24 heures sans réseau, le stock gardé est trop ancien : la caisse refuse alors de vendre sans connexion.</w:t>
      </w:r>
    </w:p>
    <w:p>
      <w:pPr>
        <w:pStyle w:val="Titre2"/>
      </w:pPr>
      <w:r>
        <w:t xml:space="preserve">Tiers payant : assurances, mutuelles et conventions</w:t>
      </w:r>
    </w:p>
    <w:p>
      <w:r>
        <w:t xml:space="preserve">Menu </w:t>
      </w:r>
      <w:r>
        <w:rPr>
          <w:i/>
        </w:rPr>
        <w:t xml:space="preserve">Tiers payant</w:t>
      </w:r>
      <w:r>
        <w:t xml:space="preserve">.</w:t>
      </w:r>
    </w:p>
    <w:p>
      <w:r>
        <w:rPr>
          <w:b/>
        </w:rPr>
        <w:t xml:space="preserve">1. Enregistrez chaque organisme</w:t>
      </w:r>
      <w:r>
        <w:t xml:space="preserve"> qui prend en charge une partie des médicaments de ses membres : mutuelle de santé, assurance, entreprise sous convention, ONG. Indiquez la part qu'il paie (80 % par exemple), un éventuel plafond par vente, et son délai de règlement.</w:t>
      </w:r>
    </w:p>
    <w:p>
      <w:r>
        <w:rPr>
          <w:b/>
        </w:rPr>
        <w:t xml:space="preserve">2. Ajoutez ses bénéficiaires</w:t>
      </w:r>
      <w:r>
        <w:t xml:space="preserve"> sur la fiche de l'organisme : numéro de carte ou matricule, nom, l'adhérent principal pour un conjoint ou un enfant, la date de validité de la carte et, s'il y en a un, le plafond annuel. Un bénéficiaire peut avoir un taux différent de celui de l'organisme.</w:t>
      </w:r>
    </w:p>
    <w:p>
      <w:r>
        <w:rPr>
          <w:b/>
        </w:rPr>
        <w:t xml:space="preserve">3. À la caisse</w:t>
      </w:r>
      <w:r>
        <w:t xml:space="preserve">, cochez </w:t>
      </w:r>
      <w:r>
        <w:rPr>
          <w:b/>
        </w:rPr>
        <w:t xml:space="preserve">Tiers payant</w:t>
      </w:r>
      <w:r>
        <w:t xml:space="preserve">, tapez le nom ou le numéro de carte et choisissez le bénéficiaire. L'écran montre aussitôt la part de l'organisme et celle du patient ; le patient ne paie que sa part, en dollars ou en francs. NOVA vérifie la carte (active, non expirée) et les plafonds : quand un plafond est atteint, la part de l'organisme est réduite et l'écran dit pourquoi. Notez le numéro du bon de prise en charge s'il y en a un.</w:t>
      </w:r>
    </w:p>
    <w:p>
      <w:r>
        <w:rPr>
          <w:b/>
        </w:rPr>
        <w:t xml:space="preserve">4. Chaque mois</w:t>
      </w:r>
      <w:r>
        <w:t xml:space="preserve">, sur la fiche de l'organisme, </w:t>
      </w:r>
      <w:r>
        <w:rPr>
          <w:i/>
        </w:rPr>
        <w:t xml:space="preserve">Ventes à présenter</w:t>
      </w:r>
      <w:r>
        <w:t xml:space="preserve"> → </w:t>
      </w:r>
      <w:r>
        <w:rPr>
          <w:b/>
        </w:rPr>
        <w:t xml:space="preserve">Établir le relevé</w:t>
      </w:r>
      <w:r>
        <w:t xml:space="preserve"> (le mois précédent est proposé). Le relevé liste chaque vente : date, bénéficiaire, carte, bon, montant, part du patient, part de l'organisme. </w:t>
      </w:r>
      <w:r>
        <w:rPr>
          <w:b/>
        </w:rPr>
        <w:t xml:space="preserve">Ouvrir le PDF / imprimer</w:t>
      </w:r>
      <w:r>
        <w:t xml:space="preserve"> pour le visa de l'organisme, ou </w:t>
      </w:r>
      <w:r>
        <w:rPr>
          <w:b/>
        </w:rPr>
        <w:t xml:space="preserve">Partager</w:t>
      </w:r>
      <w:r>
        <w:t xml:space="preserve"> par WhatsApp ou e-mail. Marquez-le </w:t>
      </w:r>
      <w:r>
        <w:rPr>
          <w:b/>
        </w:rPr>
        <w:t xml:space="preserve">présenté</w:t>
      </w:r>
      <w:r>
        <w:t xml:space="preserve">, puis enregistrez les règlements reçus jusqu'à ce qu'il soit </w:t>
      </w:r>
      <w:r>
        <w:rPr>
          <w:b/>
        </w:rPr>
        <w:t xml:space="preserve">réglé</w:t>
      </w:r>
      <w:r>
        <w:t xml:space="preserve">.</w:t>
      </w:r>
    </w:p>
    <w:p>
      <w:r>
        <w:t xml:space="preserve">Une vente annulée sort d'elle-même d'un relevé encore en brouillon. Une fois le relevé présenté, il faut d'abord l'annuler (tant qu'il n'est pas réglé).</w:t>
      </w: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Style w:val="Liste"/>
        <w:numPr>
          <w:ilvl w:val="0"/>
          <w:numId w:val="2"/>
        </w:numPr>
      </w:pPr>
      <w:r>
        <w:rPr>
          <w:b/>
        </w:rPr>
        <w:t xml:space="preserve">Servir un membre de mutuelle</w:t>
      </w:r>
      <w:r>
        <w:t xml:space="preserve"> — Menu </w:t>
      </w:r>
      <w:r>
        <w:rPr>
          <w:i/>
        </w:rPr>
        <w:t xml:space="preserve">Tiers payant</w:t>
      </w:r>
      <w:r>
        <w:t xml:space="preserve">, ajoutez une mutuelle et un bénéficiaire, puis à la </w:t>
      </w:r>
      <w:r>
        <w:rPr>
          <w:i/>
        </w:rPr>
        <w:t xml:space="preserve">Caisse</w:t>
      </w:r>
      <w:r>
        <w:t xml:space="preserve"> cochez </w:t>
      </w:r>
      <w:r>
        <w:rPr>
          <w:i/>
        </w:rPr>
        <w:t xml:space="preserve">Tiers payant</w:t>
      </w:r>
      <w:r>
        <w:t xml:space="preserve">. → </w:t>
      </w:r>
      <w:r>
        <w:rPr>
          <w:i/>
        </w:rPr>
        <w:t xml:space="preserve">Observez :</w:t>
      </w:r>
      <w:r>
        <w:t xml:space="preserve"> le patient ne paie que sa part ; le relevé du mois liste la vente pour la mutuelle.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2026-10-01T10:20:29Z</dcterms:created>
  <dcterms:modified xsi:type="dcterms:W3CDTF">2026-10-01T10:20:29Z</dcterms:modified>
</cp:coreProperties>
</file>