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Annexes de collecte remplies</w:t>
      </w:r>
    </w:p>
    <w:p/>
    <w:tbl>
      <w:tblPr>
        <w:tblW w:type="dxa" w:w="9026"/>
        <w:tblBorders>
          <w:top w:val="single" w:color="C0392B" w:sz="12"/>
          <w:left w:val="single" w:color="C0392B" w:sz="12"/>
          <w:bottom w:val="single" w:color="C0392B" w:sz="12"/>
          <w:right w:val="single" w:color="C0392B" w:sz="12"/>
          <w:insideH w:val="single" w:color="auto" w:sz="4"/>
          <w:insideV w:val="single" w:color="auto" w:sz="4"/>
        </w:tblBorders>
      </w:tblPr>
      <w:tblGrid>
        <w:gridCol w:w="9026"/>
      </w:tblGrid>
      <w:tr>
        <w:tc>
          <w:tcPr>
            <w:tcW w:type="dxa" w:w="9026"/>
            <w:shd w:fill="FDEDEC" w:color="auto" w:val="clear"/>
            <w:tcMar>
              <w:top w:type="dxa" w:w="140"/>
              <w:left w:type="dxa" w:w="160"/>
              <w:bottom w:type="dxa" w:w="140"/>
              <w:right w:type="dxa" w:w="160"/>
            </w:tcMar>
          </w:tcPr>
          <w:p>
            <w:r>
              <w:rPr>
                <w:b/>
                <w:bCs/>
                <w:color w:val="C0392B"/>
                <w:sz w:val="22"/>
                <w:szCs w:val="22"/>
              </w:rPr>
              <w:t xml:space="preserve">⚠ DONNÉES ENTIÈREMENT SIMULÉES — EXERCICE DE FORMATION</w:t>
            </w:r>
          </w:p>
          <w:p>
            <w:r>
              <w:rPr>
                <w:sz w:val="19"/>
                <w:szCs w:val="19"/>
              </w:rPr>
              <w:t xml:space="preserve">Aucun entretien n'a été conduit. Aucun centre de santé n'a été visité. Aucune des personnes décrites n'existe. Ce document sert exclusivement à apprendre à manipuler l'outil d'analyse avant la collecte réelle.</w:t>
            </w:r>
          </w:p>
          <w:p>
            <w:r>
              <w:rPr>
                <w:b/>
                <w:bCs/>
                <w:sz w:val="19"/>
                <w:szCs w:val="19"/>
              </w:rPr>
              <w:t xml:space="preserve">Il ne peut être cité, ni figurer dans le mémoire, ni servir de résultat, ni être présenté à un comité d'éthique ou à un jury comme une donnée de terrain.</w:t>
            </w:r>
          </w:p>
        </w:tc>
      </w:tr>
    </w:tbl>
    <w:p/>
    <w:p>
      <w:pPr>
        <w:spacing w:after="80"/>
        <w:rPr>
          <w:sz w:val="20"/>
          <w:szCs w:val="20"/>
        </w:rPr>
      </w:pPr>
      <w:r>
        <w:rPr>
          <w:sz w:val="20"/>
          <w:szCs w:val="20"/>
        </w:rPr>
        <w:t xml:space="preserve">Ce document réunit TOUS les outils de collecte du protocole, renseignés par les données simulées des deux vagues :</w:t>
      </w:r>
    </w:p>
    <w:p>
      <w:pPr>
        <w:spacing w:after="80"/>
        <w:rPr>
          <w:sz w:val="20"/>
          <w:szCs w:val="20"/>
        </w:rPr>
      </w:pPr>
      <w:r>
        <w:rPr>
          <w:sz w:val="20"/>
          <w:szCs w:val="20"/>
        </w:rPr>
        <w:t xml:space="preserve">· Annexe 1 — guide d'entretien : 21 entretiens conduits (index ci-dessous ; transcriptions intégrales dans le document 2)</w:t>
      </w:r>
    </w:p>
    <w:p>
      <w:pPr>
        <w:spacing w:after="80"/>
        <w:rPr>
          <w:sz w:val="20"/>
          <w:szCs w:val="20"/>
        </w:rPr>
      </w:pPr>
      <w:r>
        <w:rPr>
          <w:sz w:val="20"/>
          <w:szCs w:val="20"/>
        </w:rPr>
        <w:t xml:space="preserve">· Annexe 2 — guide d'observation du service : 16 grilles, une par centre de santé</w:t>
      </w:r>
    </w:p>
    <w:p>
      <w:pPr>
        <w:spacing w:after="80"/>
        <w:rPr>
          <w:sz w:val="20"/>
          <w:szCs w:val="20"/>
        </w:rPr>
      </w:pPr>
      <w:r>
        <w:rPr>
          <w:sz w:val="20"/>
          <w:szCs w:val="20"/>
        </w:rPr>
        <w:t xml:space="preserve">· Annexe 3 — fiche de données sociodémographiques et professionnelles : 21 fiches</w:t>
      </w:r>
    </w:p>
    <w:p>
      <w:pPr>
        <w:spacing w:after="80"/>
        <w:rPr>
          <w:sz w:val="20"/>
          <w:szCs w:val="20"/>
        </w:rPr>
      </w:pPr>
      <w:r>
        <w:rPr>
          <w:sz w:val="20"/>
          <w:szCs w:val="20"/>
        </w:rPr>
        <w:t xml:space="preserve">· Annexe 4 — registre de suivi des consentements : 21 participants</w:t>
      </w:r>
    </w:p>
    <w:p>
      <w:pPr>
        <w:spacing w:after="80"/>
        <w:rPr>
          <w:sz w:val="20"/>
          <w:szCs w:val="20"/>
        </w:rPr>
      </w:pPr>
      <w:r>
        <w:rPr>
          <w:sz w:val="20"/>
          <w:szCs w:val="20"/>
        </w:rPr>
        <w:t xml:space="preserve">· Annexe 9 — données de routine du district : 16 centres</w:t>
      </w:r>
    </w:p>
    <w:p>
      <w:pPr>
        <w:spacing w:after="80"/>
        <w:rPr>
          <w:sz w:val="20"/>
          <w:szCs w:val="20"/>
        </w:rPr>
      </w:pPr>
      <w:r>
        <w:rPr>
          <w:sz w:val="20"/>
          <w:szCs w:val="20"/>
        </w:rPr>
        <w:t xml:space="preserve">· Synthèse de l'échantillon au regard du Tableau II (matrice de variation)</w:t>
      </w:r>
    </w:p>
    <w:p>
      <w:pPr>
        <w:spacing w:after="80"/>
        <w:rPr>
          <w:sz w:val="20"/>
          <w:szCs w:val="20"/>
        </w:rPr>
      </w:pPr>
      <w:r>
        <w:rPr>
          <w:sz w:val="20"/>
          <w:szCs w:val="20"/>
        </w:rPr>
        <w:t xml:space="preserve"/>
      </w:r>
    </w:p>
    <w:p>
      <w:pPr>
        <w:spacing w:after="80"/>
        <w:rPr>
          <w:sz w:val="20"/>
          <w:szCs w:val="20"/>
        </w:rPr>
      </w:pPr>
      <w:r>
        <w:rPr>
          <w:sz w:val="20"/>
          <w:szCs w:val="20"/>
        </w:rPr>
        <w:t xml:space="preserve">Tous les champs sont éditables : le document sert aussi de gabarit pour la collecte réelle.</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simulée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 simulé</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11 sages-femmes, 16 centres de santé codés (CS01 à CS16), en deux vagues</w:t>
            </w:r>
          </w:p>
        </w:tc>
      </w:tr>
    </w:tbl>
    <w:p>
      <w:r>
        <w:br w:type="page"/>
      </w:r>
    </w:p>
    <w:p>
      <w:pPr>
        <w:pStyle w:val="Heading1"/>
        <w:spacing w:after="160" w:before="280"/>
      </w:pPr>
      <w:r>
        <w:t xml:space="preserve">1. Synthèse de l'échantillon simulé</w:t>
      </w:r>
    </w:p>
    <w:p>
      <w:pPr>
        <w:rPr>
          <w:sz w:val="20"/>
          <w:szCs w:val="20"/>
        </w:rPr>
      </w:pPr>
      <w:r>
        <w:rPr>
          <w:sz w:val="20"/>
          <w:szCs w:val="20"/>
        </w:rPr>
        <w:t xml:space="preserve">Deux vagues simulées : la vague 1 (10 participants, 5 centres) puis la vague 2 (11 participants, les 11 autres centres). Ensemble, elles couvrent les 16 centres de santé du district, dans la fourchette de seize à vingt-quatre participants du § 4.2.3.1.</w:t>
      </w:r>
    </w:p>
    <w:p>
      <w:pPr>
        <w:rPr>
          <w:sz w:val="20"/>
          <w:szCs w:val="20"/>
        </w:rPr>
      </w:pPr>
      <w:r>
        <w:rPr>
          <w:sz w:val="20"/>
          <w:szCs w:val="20"/>
        </w:rPr>
        <w:t xml:space="preserve">Le protocole (§ 4.2.3.2, Tableau II) prescrit un échantillonnage raisonné à variation maximale portant sur sept dimensions. Le tableau de couverture ci-dessous est CALCULÉ à partir des fiches : c'est le contrôle à refaire pendant la collecte réelle, après chaque entretien.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650"/>
        <w:gridCol w:w="800"/>
        <w:gridCol w:w="1250"/>
        <w:gridCol w:w="850"/>
        <w:gridCol w:w="1000"/>
        <w:gridCol w:w="850"/>
        <w:gridCol w:w="900"/>
        <w:gridCol w:w="876"/>
        <w:gridCol w:w="1200"/>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650"/>
            <w:shd w:fill="E8EDF2" w:color="auto" w:val="clear"/>
            <w:tcMar>
              <w:top w:type="dxa" w:w="60"/>
              <w:left w:type="dxa" w:w="100"/>
              <w:bottom w:type="dxa" w:w="60"/>
              <w:right w:type="dxa" w:w="100"/>
            </w:tcMar>
          </w:tcPr>
          <w:p>
            <w:r>
              <w:rPr>
                <w:b/>
                <w:bCs/>
                <w:i w:val="false"/>
                <w:iCs w:val="false"/>
                <w:sz w:val="19"/>
                <w:szCs w:val="19"/>
              </w:rPr>
              <w:t xml:space="preserve">Vague</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Qualification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Titulaire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Anc. CPN</w:t>
            </w:r>
          </w:p>
        </w:tc>
        <w:tc>
          <w:tcPr>
            <w:tcW w:type="dxa" w:w="850"/>
            <w:shd w:fill="E8EDF2" w:color="auto" w:val="clear"/>
            <w:tcMar>
              <w:top w:type="dxa" w:w="60"/>
              <w:left w:type="dxa" w:w="100"/>
              <w:bottom w:type="dxa" w:w="60"/>
              <w:right w:type="dxa" w:w="100"/>
            </w:tcMar>
          </w:tcPr>
          <w:p>
            <w:r>
              <w:rPr>
                <w:b/>
                <w:bCs/>
                <w:i w:val="false"/>
                <w:iCs w:val="false"/>
                <w:sz w:val="19"/>
                <w:szCs w:val="19"/>
              </w:rPr>
              <w:t xml:space="preserve">Secteur</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Hôpital</w:t>
            </w:r>
          </w:p>
        </w:tc>
        <w:tc>
          <w:tcPr>
            <w:tcW w:type="dxa" w:w="876"/>
            <w:shd w:fill="E8EDF2" w:color="auto" w:val="clear"/>
            <w:tcMar>
              <w:top w:type="dxa" w:w="60"/>
              <w:left w:type="dxa" w:w="100"/>
              <w:bottom w:type="dxa" w:w="60"/>
              <w:right w:type="dxa" w:w="100"/>
            </w:tcMar>
          </w:tcPr>
          <w:p>
            <w:r>
              <w:rPr>
                <w:b/>
                <w:bCs/>
                <w:i w:val="false"/>
                <w:iCs w:val="false"/>
                <w:sz w:val="19"/>
                <w:szCs w:val="19"/>
              </w:rPr>
              <w:t xml:space="preserve">Volume</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Langue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CS07</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CS02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650"/>
            <w:tcMar>
              <w:top w:type="dxa" w:w="60"/>
              <w:left w:type="dxa" w:w="100"/>
              <w:bottom w:type="dxa" w:w="60"/>
              <w:right w:type="dxa" w:w="100"/>
            </w:tcMar>
          </w:tcPr>
          <w:p>
            <w:r>
              <w:rPr>
                <w:b w:val="false"/>
                <w:bCs w:val="false"/>
                <w:i w:val="false"/>
                <w:iCs w:val="false"/>
                <w:sz w:val="19"/>
                <w:szCs w:val="19"/>
              </w:rPr>
              <w:t xml:space="preserve">1</w:t>
            </w:r>
          </w:p>
        </w:tc>
        <w:tc>
          <w:tcPr>
            <w:tcW w:type="dxa" w:w="800"/>
            <w:tcMar>
              <w:top w:type="dxa" w:w="60"/>
              <w:left w:type="dxa" w:w="100"/>
              <w:bottom w:type="dxa" w:w="60"/>
              <w:right w:type="dxa" w:w="100"/>
            </w:tcMar>
          </w:tcPr>
          <w:p>
            <w:r>
              <w:rPr>
                <w:b w:val="false"/>
                <w:bCs w:val="false"/>
                <w:i w:val="false"/>
                <w:iCs w:val="false"/>
                <w:sz w:val="19"/>
                <w:szCs w:val="19"/>
              </w:rPr>
              <w:t xml:space="preserve">CS14</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CS01</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CS04</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CS05</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CS06</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urbain</w:t>
            </w:r>
          </w:p>
        </w:tc>
        <w:tc>
          <w:tcPr>
            <w:tcW w:type="dxa" w:w="900"/>
            <w:tcMar>
              <w:top w:type="dxa" w:w="60"/>
              <w:left w:type="dxa" w:w="100"/>
              <w:bottom w:type="dxa" w:w="60"/>
              <w:right w:type="dxa" w:w="100"/>
            </w:tcMar>
          </w:tcPr>
          <w:p>
            <w:r>
              <w:rPr>
                <w:b w:val="false"/>
                <w:bCs w:val="false"/>
                <w:i w:val="false"/>
                <w:iCs w:val="false"/>
                <w:sz w:val="19"/>
                <w:szCs w:val="19"/>
              </w:rPr>
              <w:t xml:space="preserve">proche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CS08</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CS09</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CS10</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6 mois-2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CS12</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CS13</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élevé</w:t>
            </w:r>
          </w:p>
        </w:tc>
        <w:tc>
          <w:tcPr>
            <w:tcW w:type="dxa" w:w="1200"/>
            <w:tcMar>
              <w:top w:type="dxa" w:w="60"/>
              <w:left w:type="dxa" w:w="100"/>
              <w:bottom w:type="dxa" w:w="60"/>
              <w:right w:type="dxa" w:w="100"/>
            </w:tcMar>
          </w:tcPr>
          <w:p>
            <w:r>
              <w:rPr>
                <w:b w:val="false"/>
                <w:bCs w:val="false"/>
                <w:i w:val="false"/>
                <w:iCs w:val="false"/>
                <w:sz w:val="19"/>
                <w:szCs w:val="19"/>
              </w:rPr>
              <w:t xml:space="preserve">franç.</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CS15</w:t>
            </w:r>
          </w:p>
        </w:tc>
        <w:tc>
          <w:tcPr>
            <w:tcW w:type="dxa" w:w="1250"/>
            <w:tcMar>
              <w:top w:type="dxa" w:w="60"/>
              <w:left w:type="dxa" w:w="100"/>
              <w:bottom w:type="dxa" w:w="60"/>
              <w:right w:type="dxa" w:w="100"/>
            </w:tcMar>
          </w:tcPr>
          <w:p>
            <w:r>
              <w:rPr>
                <w:b w:val="false"/>
                <w:bCs w:val="false"/>
                <w:i w:val="false"/>
                <w:iCs w:val="false"/>
                <w:sz w:val="19"/>
                <w:szCs w:val="19"/>
              </w:rPr>
              <w:t xml:space="preserve">infirmier</w:t>
            </w:r>
          </w:p>
        </w:tc>
        <w:tc>
          <w:tcPr>
            <w:tcW w:type="dxa" w:w="850"/>
            <w:tcMar>
              <w:top w:type="dxa" w:w="60"/>
              <w:left w:type="dxa" w:w="100"/>
              <w:bottom w:type="dxa" w:w="60"/>
              <w:right w:type="dxa" w:w="100"/>
            </w:tcMar>
          </w:tcPr>
          <w:p>
            <w:r>
              <w:rPr>
                <w:b w:val="false"/>
                <w:bCs w:val="false"/>
                <w:i w:val="false"/>
                <w:iCs w:val="false"/>
                <w:sz w:val="19"/>
                <w:szCs w:val="19"/>
              </w:rPr>
              <w:t xml:space="preserve">non</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650"/>
            <w:tcMar>
              <w:top w:type="dxa" w:w="60"/>
              <w:left w:type="dxa" w:w="100"/>
              <w:bottom w:type="dxa" w:w="60"/>
              <w:right w:type="dxa" w:w="100"/>
            </w:tcMar>
          </w:tcPr>
          <w:p>
            <w:r>
              <w:rPr>
                <w:b w:val="false"/>
                <w:bCs w:val="false"/>
                <w:i w:val="false"/>
                <w:iCs w:val="false"/>
                <w:sz w:val="19"/>
                <w:szCs w:val="19"/>
              </w:rPr>
              <w:t xml:space="preserve">2</w:t>
            </w:r>
          </w:p>
        </w:tc>
        <w:tc>
          <w:tcPr>
            <w:tcW w:type="dxa" w:w="800"/>
            <w:tcMar>
              <w:top w:type="dxa" w:w="60"/>
              <w:left w:type="dxa" w:w="100"/>
              <w:bottom w:type="dxa" w:w="60"/>
              <w:right w:type="dxa" w:w="100"/>
            </w:tcMar>
          </w:tcPr>
          <w:p>
            <w:r>
              <w:rPr>
                <w:b w:val="false"/>
                <w:bCs w:val="false"/>
                <w:i w:val="false"/>
                <w:iCs w:val="false"/>
                <w:sz w:val="19"/>
                <w:szCs w:val="19"/>
              </w:rPr>
              <w:t xml:space="preserve">CS16</w:t>
            </w:r>
          </w:p>
        </w:tc>
        <w:tc>
          <w:tcPr>
            <w:tcW w:type="dxa" w:w="1250"/>
            <w:tcMar>
              <w:top w:type="dxa" w:w="60"/>
              <w:left w:type="dxa" w:w="100"/>
              <w:bottom w:type="dxa" w:w="60"/>
              <w:right w:type="dxa" w:w="100"/>
            </w:tcMar>
          </w:tcPr>
          <w:p>
            <w:r>
              <w:rPr>
                <w:b w:val="false"/>
                <w:bCs w:val="false"/>
                <w:i w:val="false"/>
                <w:iCs w:val="false"/>
                <w:sz w:val="19"/>
                <w:szCs w:val="19"/>
              </w:rPr>
              <w:t xml:space="preserve">sage-femme</w:t>
            </w:r>
          </w:p>
        </w:tc>
        <w:tc>
          <w:tcPr>
            <w:tcW w:type="dxa" w:w="850"/>
            <w:tcMar>
              <w:top w:type="dxa" w:w="60"/>
              <w:left w:type="dxa" w:w="100"/>
              <w:bottom w:type="dxa" w:w="60"/>
              <w:right w:type="dxa" w:w="100"/>
            </w:tcMar>
          </w:tcPr>
          <w:p>
            <w:r>
              <w:rPr>
                <w:b w:val="false"/>
                <w:bCs w:val="false"/>
                <w:i w:val="false"/>
                <w:iCs w:val="false"/>
                <w:sz w:val="19"/>
                <w:szCs w:val="19"/>
              </w:rPr>
              <w:t xml:space="preserve">oui</w:t>
            </w:r>
          </w:p>
        </w:tc>
        <w:tc>
          <w:tcPr>
            <w:tcW w:type="dxa" w:w="1000"/>
            <w:tcMar>
              <w:top w:type="dxa" w:w="60"/>
              <w:left w:type="dxa" w:w="100"/>
              <w:bottom w:type="dxa" w:w="60"/>
              <w:right w:type="dxa" w:w="100"/>
            </w:tcMar>
          </w:tcPr>
          <w:p>
            <w:r>
              <w:rPr>
                <w:b w:val="false"/>
                <w:bCs w:val="false"/>
                <w:i w:val="false"/>
                <w:iCs w:val="false"/>
                <w:sz w:val="19"/>
                <w:szCs w:val="19"/>
              </w:rPr>
              <w:t xml:space="preserve">&gt; 2 ans</w:t>
            </w:r>
          </w:p>
        </w:tc>
        <w:tc>
          <w:tcPr>
            <w:tcW w:type="dxa" w:w="850"/>
            <w:tcMar>
              <w:top w:type="dxa" w:w="60"/>
              <w:left w:type="dxa" w:w="100"/>
              <w:bottom w:type="dxa" w:w="60"/>
              <w:right w:type="dxa" w:w="100"/>
            </w:tcMar>
          </w:tcPr>
          <w:p>
            <w:r>
              <w:rPr>
                <w:b w:val="false"/>
                <w:bCs w:val="false"/>
                <w:i w:val="false"/>
                <w:iCs w:val="false"/>
                <w:sz w:val="19"/>
                <w:szCs w:val="19"/>
              </w:rPr>
              <w:t xml:space="preserve">rural</w:t>
            </w:r>
          </w:p>
        </w:tc>
        <w:tc>
          <w:tcPr>
            <w:tcW w:type="dxa" w:w="900"/>
            <w:tcMar>
              <w:top w:type="dxa" w:w="60"/>
              <w:left w:type="dxa" w:w="100"/>
              <w:bottom w:type="dxa" w:w="60"/>
              <w:right w:type="dxa" w:w="100"/>
            </w:tcMar>
          </w:tcPr>
          <w:p>
            <w:r>
              <w:rPr>
                <w:b w:val="false"/>
                <w:bCs w:val="false"/>
                <w:i w:val="false"/>
                <w:iCs w:val="false"/>
                <w:sz w:val="19"/>
                <w:szCs w:val="19"/>
              </w:rPr>
              <w:t xml:space="preserve">éloignée</w:t>
            </w:r>
          </w:p>
        </w:tc>
        <w:tc>
          <w:tcPr>
            <w:tcW w:type="dxa" w:w="876"/>
            <w:tcMar>
              <w:top w:type="dxa" w:w="60"/>
              <w:left w:type="dxa" w:w="100"/>
              <w:bottom w:type="dxa" w:w="60"/>
              <w:right w:type="dxa" w:w="100"/>
            </w:tcMar>
          </w:tcPr>
          <w:p>
            <w:r>
              <w:rPr>
                <w:b w:val="false"/>
                <w:bCs w:val="false"/>
                <w:i w:val="false"/>
                <w:iCs w:val="false"/>
                <w:sz w:val="19"/>
                <w:szCs w:val="19"/>
              </w:rPr>
              <w:t xml:space="preserve">modéré</w:t>
            </w:r>
          </w:p>
        </w:tc>
        <w:tc>
          <w:tcPr>
            <w:tcW w:type="dxa" w:w="1200"/>
            <w:tcMar>
              <w:top w:type="dxa" w:w="60"/>
              <w:left w:type="dxa" w:w="100"/>
              <w:bottom w:type="dxa" w:w="60"/>
              <w:right w:type="dxa" w:w="100"/>
            </w:tcMar>
          </w:tcPr>
          <w:p>
            <w:r>
              <w:rPr>
                <w:b w:val="false"/>
                <w:bCs w:val="false"/>
                <w:i w:val="false"/>
                <w:iCs w:val="false"/>
                <w:sz w:val="19"/>
                <w:szCs w:val="19"/>
              </w:rPr>
              <w:t xml:space="preserve">kinya.</w:t>
            </w:r>
          </w:p>
        </w:tc>
      </w:tr>
    </w:tbl>
    <w:p/>
    <w:p>
      <w:pPr>
        <w:pStyle w:val="Heading2"/>
        <w:spacing w:after="120" w:before="220"/>
      </w:pPr>
      <w:r>
        <w:t xml:space="preserve">Couverture des sept dimensions de variation (Tableau II)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E8EDF2" w:color="auto" w:val="clear"/>
            <w:tcMar>
              <w:top w:type="dxa" w:w="60"/>
              <w:left w:type="dxa" w:w="100"/>
              <w:bottom w:type="dxa" w:w="60"/>
              <w:right w:type="dxa" w:w="100"/>
            </w:tcMar>
          </w:tcPr>
          <w:p>
            <w:r>
              <w:rPr>
                <w:b/>
                <w:bCs/>
                <w:i w:val="false"/>
                <w:iCs w:val="false"/>
                <w:sz w:val="19"/>
                <w:szCs w:val="19"/>
              </w:rPr>
              <w:t xml:space="preserve">Dimension (Tableau II)</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Modalités recherchées</w:t>
            </w:r>
          </w:p>
        </w:tc>
        <w:tc>
          <w:tcPr>
            <w:tcW w:type="dxa" w:w="4426"/>
            <w:shd w:fill="E8EDF2" w:color="auto" w:val="clear"/>
            <w:tcMar>
              <w:top w:type="dxa" w:w="60"/>
              <w:left w:type="dxa" w:w="100"/>
              <w:bottom w:type="dxa" w:w="60"/>
              <w:right w:type="dxa" w:w="100"/>
            </w:tcMar>
          </w:tcPr>
          <w:p>
            <w:r>
              <w:rPr>
                <w:b/>
                <w:bCs/>
                <w:i w:val="false"/>
                <w:iCs w:val="false"/>
                <w:sz w:val="19"/>
                <w:szCs w:val="19"/>
              </w:rPr>
              <w:t xml:space="preserve">Couverture dans l'échantillon simulé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Qualification</w:t>
            </w:r>
          </w:p>
        </w:tc>
        <w:tc>
          <w:tcPr>
            <w:tcW w:type="dxa" w:w="2400"/>
            <w:tcMar>
              <w:top w:type="dxa" w:w="60"/>
              <w:left w:type="dxa" w:w="100"/>
              <w:bottom w:type="dxa" w:w="60"/>
              <w:right w:type="dxa" w:w="100"/>
            </w:tcMar>
          </w:tcPr>
          <w:p>
            <w:r>
              <w:rPr>
                <w:b w:val="false"/>
                <w:bCs w:val="false"/>
                <w:i w:val="false"/>
                <w:iCs w:val="false"/>
                <w:sz w:val="19"/>
                <w:szCs w:val="19"/>
              </w:rPr>
              <w:t xml:space="preserve">Infirmiers ; sages-femmes</w:t>
            </w:r>
          </w:p>
        </w:tc>
        <w:tc>
          <w:tcPr>
            <w:tcW w:type="dxa" w:w="4426"/>
            <w:tcMar>
              <w:top w:type="dxa" w:w="60"/>
              <w:left w:type="dxa" w:w="100"/>
              <w:bottom w:type="dxa" w:w="60"/>
              <w:right w:type="dxa" w:w="100"/>
            </w:tcMar>
          </w:tcPr>
          <w:p>
            <w:r>
              <w:rPr>
                <w:b w:val="false"/>
                <w:bCs w:val="false"/>
                <w:i w:val="false"/>
                <w:iCs w:val="false"/>
                <w:sz w:val="19"/>
                <w:szCs w:val="19"/>
              </w:rPr>
              <w:t xml:space="preserve">10 infirmiers ou infirmières (P01, P04, P05, P08, P09, P12, P14, P16, P18, P20) · 11 sages-femmes (P02, P03, P06, P07, P10, P11, P13, P15, P17, P19, P21)</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Fonction</w:t>
            </w:r>
          </w:p>
        </w:tc>
        <w:tc>
          <w:tcPr>
            <w:tcW w:type="dxa" w:w="2400"/>
            <w:tcMar>
              <w:top w:type="dxa" w:w="60"/>
              <w:left w:type="dxa" w:w="100"/>
              <w:bottom w:type="dxa" w:w="60"/>
              <w:right w:type="dxa" w:w="100"/>
            </w:tcMar>
          </w:tcPr>
          <w:p>
            <w:r>
              <w:rPr>
                <w:b w:val="false"/>
                <w:bCs w:val="false"/>
                <w:i w:val="false"/>
                <w:iCs w:val="false"/>
                <w:sz w:val="19"/>
                <w:szCs w:val="19"/>
              </w:rPr>
              <w:t xml:space="preserve">Prestataires ; infirmiers titulaires</w:t>
            </w:r>
          </w:p>
        </w:tc>
        <w:tc>
          <w:tcPr>
            <w:tcW w:type="dxa" w:w="4426"/>
            <w:tcMar>
              <w:top w:type="dxa" w:w="60"/>
              <w:left w:type="dxa" w:w="100"/>
              <w:bottom w:type="dxa" w:w="60"/>
              <w:right w:type="dxa" w:w="100"/>
            </w:tcMar>
          </w:tcPr>
          <w:p>
            <w:r>
              <w:rPr>
                <w:b w:val="false"/>
                <w:bCs w:val="false"/>
                <w:i w:val="false"/>
                <w:iCs w:val="false"/>
                <w:sz w:val="19"/>
                <w:szCs w:val="19"/>
              </w:rPr>
              <w:t xml:space="preserve">6 titulaires (P01, P05, P09, P12, P16, P21) · 15 prestataires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Ancienneté en CPN</w:t>
            </w:r>
          </w:p>
        </w:tc>
        <w:tc>
          <w:tcPr>
            <w:tcW w:type="dxa" w:w="2400"/>
            <w:tcMar>
              <w:top w:type="dxa" w:w="60"/>
              <w:left w:type="dxa" w:w="100"/>
              <w:bottom w:type="dxa" w:w="60"/>
              <w:right w:type="dxa" w:w="100"/>
            </w:tcMar>
          </w:tcPr>
          <w:p>
            <w:r>
              <w:rPr>
                <w:b w:val="false"/>
                <w:bCs w:val="false"/>
                <w:i w:val="false"/>
                <w:iCs w:val="false"/>
                <w:sz w:val="19"/>
                <w:szCs w:val="19"/>
              </w:rPr>
              <w:t xml:space="preserve">6 mois-2 ans ; plus de 2 ans</w:t>
            </w:r>
          </w:p>
        </w:tc>
        <w:tc>
          <w:tcPr>
            <w:tcW w:type="dxa" w:w="4426"/>
            <w:tcMar>
              <w:top w:type="dxa" w:w="60"/>
              <w:left w:type="dxa" w:w="100"/>
              <w:bottom w:type="dxa" w:w="60"/>
              <w:right w:type="dxa" w:w="100"/>
            </w:tcMar>
          </w:tcPr>
          <w:p>
            <w:r>
              <w:rPr>
                <w:b w:val="false"/>
                <w:bCs w:val="false"/>
                <w:i w:val="false"/>
                <w:iCs w:val="false"/>
                <w:sz w:val="19"/>
                <w:szCs w:val="19"/>
              </w:rPr>
              <w:t xml:space="preserve">6 de 6 mois à 2 ans (P03, P06, P08, P14, P16, P17) · 15 de plus de 2 ans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Secteur d'implantation</w:t>
            </w:r>
          </w:p>
        </w:tc>
        <w:tc>
          <w:tcPr>
            <w:tcW w:type="dxa" w:w="2400"/>
            <w:tcMar>
              <w:top w:type="dxa" w:w="60"/>
              <w:left w:type="dxa" w:w="100"/>
              <w:bottom w:type="dxa" w:w="60"/>
              <w:right w:type="dxa" w:w="100"/>
            </w:tcMar>
          </w:tcPr>
          <w:p>
            <w:r>
              <w:rPr>
                <w:b w:val="false"/>
                <w:bCs w:val="false"/>
                <w:i w:val="false"/>
                <w:iCs w:val="false"/>
                <w:sz w:val="19"/>
                <w:szCs w:val="19"/>
              </w:rPr>
              <w:t xml:space="preserve">Urbain ; rural périphérique</w:t>
            </w:r>
          </w:p>
        </w:tc>
        <w:tc>
          <w:tcPr>
            <w:tcW w:type="dxa" w:w="4426"/>
            <w:tcMar>
              <w:top w:type="dxa" w:w="60"/>
              <w:left w:type="dxa" w:w="100"/>
              <w:bottom w:type="dxa" w:w="60"/>
              <w:right w:type="dxa" w:w="100"/>
            </w:tcMar>
          </w:tcPr>
          <w:p>
            <w:r>
              <w:rPr>
                <w:b w:val="false"/>
                <w:bCs w:val="false"/>
                <w:i w:val="false"/>
                <w:iCs w:val="false"/>
                <w:sz w:val="19"/>
                <w:szCs w:val="19"/>
              </w:rPr>
              <w:t xml:space="preserve">6 urbains (CS01, CS02, CS03, CS06) · 15 ruraux (CS04, CS05, CS07, CS08, CS09, CS10, CS11, CS12, CS13, CS14, CS15, CS16)</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Distance à l'hôpital</w:t>
            </w:r>
          </w:p>
        </w:tc>
        <w:tc>
          <w:tcPr>
            <w:tcW w:type="dxa" w:w="2400"/>
            <w:tcMar>
              <w:top w:type="dxa" w:w="60"/>
              <w:left w:type="dxa" w:w="100"/>
              <w:bottom w:type="dxa" w:w="60"/>
              <w:right w:type="dxa" w:w="100"/>
            </w:tcMar>
          </w:tcPr>
          <w:p>
            <w:r>
              <w:rPr>
                <w:b w:val="false"/>
                <w:bCs w:val="false"/>
                <w:i w:val="false"/>
                <w:iCs w:val="false"/>
                <w:sz w:val="19"/>
                <w:szCs w:val="19"/>
              </w:rPr>
              <w:t xml:space="preserve">Proche ; éloignée</w:t>
            </w:r>
          </w:p>
        </w:tc>
        <w:tc>
          <w:tcPr>
            <w:tcW w:type="dxa" w:w="4426"/>
            <w:tcMar>
              <w:top w:type="dxa" w:w="60"/>
              <w:left w:type="dxa" w:w="100"/>
              <w:bottom w:type="dxa" w:w="60"/>
              <w:right w:type="dxa" w:w="100"/>
            </w:tcMar>
          </w:tcPr>
          <w:p>
            <w:r>
              <w:rPr>
                <w:b w:val="false"/>
                <w:bCs w:val="false"/>
                <w:i w:val="false"/>
                <w:iCs w:val="false"/>
                <w:sz w:val="19"/>
                <w:szCs w:val="19"/>
              </w:rPr>
              <w:t xml:space="preserve">6 proches · 15 éloignés</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Volume d'activité prénatale</w:t>
            </w:r>
          </w:p>
        </w:tc>
        <w:tc>
          <w:tcPr>
            <w:tcW w:type="dxa" w:w="2400"/>
            <w:tcMar>
              <w:top w:type="dxa" w:w="60"/>
              <w:left w:type="dxa" w:w="100"/>
              <w:bottom w:type="dxa" w:w="60"/>
              <w:right w:type="dxa" w:w="100"/>
            </w:tcMar>
          </w:tcPr>
          <w:p>
            <w:r>
              <w:rPr>
                <w:b w:val="false"/>
                <w:bCs w:val="false"/>
                <w:i w:val="false"/>
                <w:iCs w:val="false"/>
                <w:sz w:val="19"/>
                <w:szCs w:val="19"/>
              </w:rPr>
              <w:t xml:space="preserve">Élevé ; modéré</w:t>
            </w:r>
          </w:p>
        </w:tc>
        <w:tc>
          <w:tcPr>
            <w:tcW w:type="dxa" w:w="4426"/>
            <w:tcMar>
              <w:top w:type="dxa" w:w="60"/>
              <w:left w:type="dxa" w:w="100"/>
              <w:bottom w:type="dxa" w:w="60"/>
              <w:right w:type="dxa" w:w="100"/>
            </w:tcMar>
          </w:tcPr>
          <w:p>
            <w:r>
              <w:rPr>
                <w:b w:val="false"/>
                <w:bCs w:val="false"/>
                <w:i w:val="false"/>
                <w:iCs w:val="false"/>
                <w:sz w:val="19"/>
                <w:szCs w:val="19"/>
              </w:rPr>
              <w:t xml:space="preserve">7 en volume élevé · 14 en volume modéré</w:t>
            </w:r>
          </w:p>
        </w:tc>
      </w:tr>
      <w:tr>
        <w:trPr>
          <w:tblHeader w:val="off"/>
        </w:trPr>
        <w:tc>
          <w:tcPr>
            <w:tcW w:type="dxa" w:w="2200"/>
            <w:tcMar>
              <w:top w:type="dxa" w:w="60"/>
              <w:left w:type="dxa" w:w="100"/>
              <w:bottom w:type="dxa" w:w="60"/>
              <w:right w:type="dxa" w:w="100"/>
            </w:tcMar>
          </w:tcPr>
          <w:p>
            <w:r>
              <w:rPr>
                <w:b w:val="false"/>
                <w:bCs w:val="false"/>
                <w:i w:val="false"/>
                <w:iCs w:val="false"/>
                <w:sz w:val="19"/>
                <w:szCs w:val="19"/>
              </w:rPr>
              <w:t xml:space="preserve">Profil socio-économique du secteur</w:t>
            </w:r>
          </w:p>
        </w:tc>
        <w:tc>
          <w:tcPr>
            <w:tcW w:type="dxa" w:w="2400"/>
            <w:tcMar>
              <w:top w:type="dxa" w:w="60"/>
              <w:left w:type="dxa" w:w="100"/>
              <w:bottom w:type="dxa" w:w="60"/>
              <w:right w:type="dxa" w:w="100"/>
            </w:tcMar>
          </w:tcPr>
          <w:p>
            <w:r>
              <w:rPr>
                <w:b w:val="false"/>
                <w:bCs w:val="false"/>
                <w:i w:val="false"/>
                <w:iCs w:val="false"/>
                <w:sz w:val="19"/>
                <w:szCs w:val="19"/>
              </w:rPr>
              <w:t xml:space="preserve">Pauvreté plus élevée ; plus faible</w:t>
            </w:r>
          </w:p>
        </w:tc>
        <w:tc>
          <w:tcPr>
            <w:tcW w:type="dxa" w:w="4426"/>
            <w:tcMar>
              <w:top w:type="dxa" w:w="60"/>
              <w:left w:type="dxa" w:w="100"/>
              <w:bottom w:type="dxa" w:w="60"/>
              <w:right w:type="dxa" w:w="100"/>
            </w:tcMar>
          </w:tcPr>
          <w:p>
            <w:r>
              <w:rPr>
                <w:b w:val="false"/>
                <w:bCs w:val="false"/>
                <w:i w:val="false"/>
                <w:iCs w:val="false"/>
                <w:sz w:val="19"/>
                <w:szCs w:val="19"/>
              </w:rPr>
              <w:t xml:space="preserve">15 en secteur de pauvreté plus élevée · 6 en secteur de pauvreté plus faible</w:t>
            </w:r>
          </w:p>
        </w:tc>
      </w:tr>
    </w:tbl>
    <w:p/>
    <w:p>
      <w:pPr>
        <w:rPr>
          <w:i/>
          <w:iCs/>
          <w:sz w:val="20"/>
          <w:szCs w:val="20"/>
        </w:rPr>
      </w:pPr>
      <w:r>
        <w:rPr>
          <w:i/>
          <w:iCs/>
          <w:sz w:val="20"/>
          <w:szCs w:val="20"/>
        </w:rPr>
        <w:t xml:space="preserve">Le protocole ne clôt pas la collecte sur un nombre : la suffisance informationnelle s'argumente dimension par dimension. Le projet QualiCode contient un mémo qui s'y exerce.</w:t>
      </w:r>
    </w:p>
    <w:p>
      <w:r>
        <w:br w:type="page"/>
      </w:r>
    </w:p>
    <w:p>
      <w:pPr>
        <w:pStyle w:val="Heading1"/>
        <w:spacing w:after="160" w:before="280"/>
      </w:pPr>
      <w:r>
        <w:t xml:space="preserve">2. Annexe 1 — Guide d'entretien : entretiens conduits</w:t>
      </w:r>
    </w:p>
    <w:p>
      <w:pPr>
        <w:rPr>
          <w:sz w:val="20"/>
          <w:szCs w:val="20"/>
        </w:rPr>
      </w:pPr>
      <w:r>
        <w:rPr>
          <w:sz w:val="20"/>
          <w:szCs w:val="20"/>
        </w:rPr>
        <w:t xml:space="preserve">Le guide d'entretien se « remplit » par l'entretien lui-même : ses vingt-deux questions ont été posées aux participants ci-dessous, et leurs réponses sont transcrites intégralement, question par question, dans le document 2 (Transcriptions verbatim). Le journal de bord de chaque entretien y précède la transcription.</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900"/>
        <w:gridCol w:w="1150"/>
        <w:gridCol w:w="900"/>
        <w:gridCol w:w="1300"/>
        <w:gridCol w:w="4076"/>
      </w:tblGrid>
      <w:tr>
        <w:trPr>
          <w:tblHeader/>
        </w:trPr>
        <w:tc>
          <w:tcPr>
            <w:tcW w:type="dxa" w:w="7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Structure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Durée</w:t>
            </w:r>
          </w:p>
        </w:tc>
        <w:tc>
          <w:tcPr>
            <w:tcW w:type="dxa" w:w="1300"/>
            <w:shd w:fill="E8EDF2" w:color="auto" w:val="clear"/>
            <w:tcMar>
              <w:top w:type="dxa" w:w="60"/>
              <w:left w:type="dxa" w:w="100"/>
              <w:bottom w:type="dxa" w:w="60"/>
              <w:right w:type="dxa" w:w="100"/>
            </w:tcMar>
          </w:tcPr>
          <w:p>
            <w:r>
              <w:rPr>
                <w:b/>
                <w:bCs/>
                <w:i w:val="false"/>
                <w:iCs w:val="false"/>
                <w:sz w:val="19"/>
                <w:szCs w:val="19"/>
              </w:rPr>
              <w:t xml:space="preserve">Langue</w:t>
            </w:r>
          </w:p>
        </w:tc>
        <w:tc>
          <w:tcPr>
            <w:tcW w:type="dxa" w:w="4076"/>
            <w:shd w:fill="E8EDF2" w:color="auto" w:val="clear"/>
            <w:tcMar>
              <w:top w:type="dxa" w:w="60"/>
              <w:left w:type="dxa" w:w="100"/>
              <w:bottom w:type="dxa" w:w="60"/>
              <w:right w:type="dxa" w:w="100"/>
            </w:tcMar>
          </w:tcPr>
          <w:p>
            <w:r>
              <w:rPr>
                <w:b/>
                <w:bCs/>
                <w:i w:val="false"/>
                <w:iCs w:val="false"/>
                <w:sz w:val="19"/>
                <w:szCs w:val="19"/>
              </w:rPr>
              <w:t xml:space="preserve">Traitement de la transcription (§ 4.2.6)</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P01</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P02</w:t>
            </w:r>
          </w:p>
        </w:tc>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1150"/>
            <w:tcMar>
              <w:top w:type="dxa" w:w="60"/>
              <w:left w:type="dxa" w:w="100"/>
              <w:bottom w:type="dxa" w:w="60"/>
              <w:right w:type="dxa" w:w="100"/>
            </w:tcMar>
          </w:tcPr>
          <w:p>
            <w:r>
              <w:rPr>
                <w:b w:val="false"/>
                <w:bCs w:val="false"/>
                <w:i w:val="false"/>
                <w:iCs w:val="false"/>
                <w:sz w:val="19"/>
                <w:szCs w:val="19"/>
              </w:rPr>
              <w:t xml:space="preserve">18/08/2026</w:t>
            </w:r>
          </w:p>
        </w:tc>
        <w:tc>
          <w:tcPr>
            <w:tcW w:type="dxa" w:w="900"/>
            <w:tcMar>
              <w:top w:type="dxa" w:w="60"/>
              <w:left w:type="dxa" w:w="100"/>
              <w:bottom w:type="dxa" w:w="60"/>
              <w:right w:type="dxa" w:w="100"/>
            </w:tcMar>
          </w:tcPr>
          <w:p>
            <w:r>
              <w:rPr>
                <w:b w:val="false"/>
                <w:bCs w:val="false"/>
                <w:i w:val="false"/>
                <w:iCs w:val="false"/>
                <w:sz w:val="19"/>
                <w:szCs w:val="19"/>
              </w:rPr>
              <w:t xml:space="preserve">58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P03</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P04</w:t>
            </w:r>
          </w:p>
        </w:tc>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1150"/>
            <w:tcMar>
              <w:top w:type="dxa" w:w="60"/>
              <w:left w:type="dxa" w:w="100"/>
              <w:bottom w:type="dxa" w:w="60"/>
              <w:right w:type="dxa" w:w="100"/>
            </w:tcMar>
          </w:tcPr>
          <w:p>
            <w:r>
              <w:rPr>
                <w:b w:val="false"/>
                <w:bCs w:val="false"/>
                <w:i w:val="false"/>
                <w:iCs w:val="false"/>
                <w:sz w:val="19"/>
                <w:szCs w:val="19"/>
              </w:rPr>
              <w:t xml:space="preserve">25/08/2026</w:t>
            </w:r>
          </w:p>
        </w:tc>
        <w:tc>
          <w:tcPr>
            <w:tcW w:type="dxa" w:w="900"/>
            <w:tcMar>
              <w:top w:type="dxa" w:w="60"/>
              <w:left w:type="dxa" w:w="100"/>
              <w:bottom w:type="dxa" w:w="60"/>
              <w:right w:type="dxa" w:w="100"/>
            </w:tcMar>
          </w:tcPr>
          <w:p>
            <w:r>
              <w:rPr>
                <w:b w:val="false"/>
                <w:bCs w:val="false"/>
                <w:i w:val="false"/>
                <w:iCs w:val="false"/>
                <w:sz w:val="19"/>
                <w:szCs w:val="19"/>
              </w:rPr>
              <w:t xml:space="preserve">47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P05</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44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P06</w:t>
            </w:r>
          </w:p>
        </w:tc>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1150"/>
            <w:tcMar>
              <w:top w:type="dxa" w:w="60"/>
              <w:left w:type="dxa" w:w="100"/>
              <w:bottom w:type="dxa" w:w="60"/>
              <w:right w:type="dxa" w:w="100"/>
            </w:tcMar>
          </w:tcPr>
          <w:p>
            <w:r>
              <w:rPr>
                <w:b w:val="false"/>
                <w:bCs w:val="false"/>
                <w:i w:val="false"/>
                <w:iCs w:val="false"/>
                <w:sz w:val="19"/>
                <w:szCs w:val="19"/>
              </w:rPr>
              <w:t xml:space="preserve">01/09/2026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P07</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61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P08</w:t>
            </w:r>
          </w:p>
        </w:tc>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1150"/>
            <w:tcMar>
              <w:top w:type="dxa" w:w="60"/>
              <w:left w:type="dxa" w:w="100"/>
              <w:bottom w:type="dxa" w:w="60"/>
              <w:right w:type="dxa" w:w="100"/>
            </w:tcMar>
          </w:tcPr>
          <w:p>
            <w:r>
              <w:rPr>
                <w:b w:val="false"/>
                <w:bCs w:val="false"/>
                <w:i w:val="false"/>
                <w:iCs w:val="false"/>
                <w:sz w:val="19"/>
                <w:szCs w:val="19"/>
              </w:rPr>
              <w:t xml:space="preserve">08/09/2026</w:t>
            </w:r>
          </w:p>
        </w:tc>
        <w:tc>
          <w:tcPr>
            <w:tcW w:type="dxa" w:w="900"/>
            <w:tcMar>
              <w:top w:type="dxa" w:w="60"/>
              <w:left w:type="dxa" w:w="100"/>
              <w:bottom w:type="dxa" w:w="60"/>
              <w:right w:type="dxa" w:w="100"/>
            </w:tcMar>
          </w:tcPr>
          <w:p>
            <w:r>
              <w:rPr>
                <w:b w:val="false"/>
                <w:bCs w:val="false"/>
                <w:i w:val="false"/>
                <w:iCs w:val="false"/>
                <w:sz w:val="19"/>
                <w:szCs w:val="19"/>
              </w:rPr>
              <w:t xml:space="preserve">38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P09</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P10</w:t>
            </w:r>
          </w:p>
        </w:tc>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1150"/>
            <w:tcMar>
              <w:top w:type="dxa" w:w="60"/>
              <w:left w:type="dxa" w:w="100"/>
              <w:bottom w:type="dxa" w:w="60"/>
              <w:right w:type="dxa" w:w="100"/>
            </w:tcMar>
          </w:tcPr>
          <w:p>
            <w:r>
              <w:rPr>
                <w:b w:val="false"/>
                <w:bCs w:val="false"/>
                <w:i w:val="false"/>
                <w:iCs w:val="false"/>
                <w:sz w:val="19"/>
                <w:szCs w:val="19"/>
              </w:rPr>
              <w:t xml:space="preserve">15/09/2026</w:t>
            </w:r>
          </w:p>
        </w:tc>
        <w:tc>
          <w:tcPr>
            <w:tcW w:type="dxa" w:w="900"/>
            <w:tcMar>
              <w:top w:type="dxa" w:w="60"/>
              <w:left w:type="dxa" w:w="100"/>
              <w:bottom w:type="dxa" w:w="60"/>
              <w:right w:type="dxa" w:w="100"/>
            </w:tcMar>
          </w:tcPr>
          <w:p>
            <w:r>
              <w:rPr>
                <w:b w:val="false"/>
                <w:bCs w:val="false"/>
                <w:i w:val="false"/>
                <w:iCs w:val="false"/>
                <w:sz w:val="19"/>
                <w:szCs w:val="19"/>
              </w:rPr>
              <w:t xml:space="preserve">50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P11</w:t>
            </w:r>
          </w:p>
        </w:tc>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57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P12</w:t>
            </w:r>
          </w:p>
        </w:tc>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115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46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P13</w:t>
            </w:r>
          </w:p>
        </w:tc>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53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P14</w:t>
            </w:r>
          </w:p>
        </w:tc>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115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40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P15</w:t>
            </w:r>
          </w:p>
        </w:tc>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49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P16</w:t>
            </w:r>
          </w:p>
        </w:tc>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115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43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P17</w:t>
            </w:r>
          </w:p>
        </w:tc>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51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P18</w:t>
            </w:r>
          </w:p>
        </w:tc>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1150"/>
            <w:tcMar>
              <w:top w:type="dxa" w:w="60"/>
              <w:left w:type="dxa" w:w="100"/>
              <w:bottom w:type="dxa" w:w="60"/>
              <w:right w:type="dxa" w:w="100"/>
            </w:tcMar>
          </w:tcPr>
          <w:p>
            <w:r>
              <w:rPr>
                <w:b w:val="false"/>
                <w:bCs w:val="false"/>
                <w:i w:val="false"/>
                <w:iCs w:val="false"/>
                <w:sz w:val="19"/>
                <w:szCs w:val="19"/>
              </w:rPr>
              <w:t xml:space="preserve">25/09/2026</w:t>
            </w:r>
          </w:p>
        </w:tc>
        <w:tc>
          <w:tcPr>
            <w:tcW w:type="dxa" w:w="900"/>
            <w:tcMar>
              <w:top w:type="dxa" w:w="60"/>
              <w:left w:type="dxa" w:w="100"/>
              <w:bottom w:type="dxa" w:w="60"/>
              <w:right w:type="dxa" w:w="100"/>
            </w:tcMar>
          </w:tcPr>
          <w:p>
            <w:r>
              <w:rPr>
                <w:b w:val="false"/>
                <w:bCs w:val="false"/>
                <w:i w:val="false"/>
                <w:iCs w:val="false"/>
                <w:sz w:val="19"/>
                <w:szCs w:val="19"/>
              </w:rPr>
              <w:t xml:space="preserve">55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P19</w:t>
            </w:r>
          </w:p>
        </w:tc>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115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60 min</w:t>
            </w:r>
          </w:p>
        </w:tc>
        <w:tc>
          <w:tcPr>
            <w:tcW w:type="dxa" w:w="1300"/>
            <w:tcMar>
              <w:top w:type="dxa" w:w="60"/>
              <w:left w:type="dxa" w:w="100"/>
              <w:bottom w:type="dxa" w:w="60"/>
              <w:right w:type="dxa" w:w="100"/>
            </w:tcMar>
          </w:tcPr>
          <w:p>
            <w:r>
              <w:rPr>
                <w:b w:val="false"/>
                <w:bCs w:val="false"/>
                <w:i w:val="false"/>
                <w:iCs w:val="false"/>
                <w:sz w:val="19"/>
                <w:szCs w:val="19"/>
              </w:rPr>
              <w:t xml:space="preserve">français</w:t>
            </w:r>
          </w:p>
        </w:tc>
        <w:tc>
          <w:tcPr>
            <w:tcW w:type="dxa" w:w="4076"/>
            <w:tcMar>
              <w:top w:type="dxa" w:w="60"/>
              <w:left w:type="dxa" w:w="100"/>
              <w:bottom w:type="dxa" w:w="60"/>
              <w:right w:type="dxa" w:w="100"/>
            </w:tcMar>
          </w:tcPr>
          <w:p>
            <w:r>
              <w:rPr>
                <w:b w:val="false"/>
                <w:bCs w:val="false"/>
                <w:i w:val="false"/>
                <w:iCs w:val="false"/>
                <w:sz w:val="19"/>
                <w:szCs w:val="19"/>
              </w:rPr>
              <w:t xml:space="preserve">Transcription directe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P20</w:t>
            </w:r>
          </w:p>
        </w:tc>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115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45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r>
        <w:trPr>
          <w:tblHeader w:val="off"/>
        </w:trPr>
        <w:tc>
          <w:tcPr>
            <w:tcW w:type="dxa" w:w="700"/>
            <w:tcMar>
              <w:top w:type="dxa" w:w="60"/>
              <w:left w:type="dxa" w:w="100"/>
              <w:bottom w:type="dxa" w:w="60"/>
              <w:right w:type="dxa" w:w="100"/>
            </w:tcMar>
          </w:tcPr>
          <w:p>
            <w:r>
              <w:rPr>
                <w:b w:val="false"/>
                <w:bCs w:val="false"/>
                <w:i w:val="false"/>
                <w:iCs w:val="false"/>
                <w:sz w:val="19"/>
                <w:szCs w:val="19"/>
              </w:rPr>
              <w:t xml:space="preserve">P21</w:t>
            </w:r>
          </w:p>
        </w:tc>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1150"/>
            <w:tcMar>
              <w:top w:type="dxa" w:w="60"/>
              <w:left w:type="dxa" w:w="100"/>
              <w:bottom w:type="dxa" w:w="60"/>
              <w:right w:type="dxa" w:w="100"/>
            </w:tcMar>
          </w:tcPr>
          <w:p>
            <w:r>
              <w:rPr>
                <w:b w:val="false"/>
                <w:bCs w:val="false"/>
                <w:i w:val="false"/>
                <w:iCs w:val="false"/>
                <w:sz w:val="19"/>
                <w:szCs w:val="19"/>
              </w:rPr>
              <w:t xml:space="preserve">30/09/2026</w:t>
            </w:r>
          </w:p>
        </w:tc>
        <w:tc>
          <w:tcPr>
            <w:tcW w:type="dxa" w:w="900"/>
            <w:tcMar>
              <w:top w:type="dxa" w:w="60"/>
              <w:left w:type="dxa" w:w="100"/>
              <w:bottom w:type="dxa" w:w="60"/>
              <w:right w:type="dxa" w:w="100"/>
            </w:tcMar>
          </w:tcPr>
          <w:p>
            <w:r>
              <w:rPr>
                <w:b w:val="false"/>
                <w:bCs w:val="false"/>
                <w:i w:val="false"/>
                <w:iCs w:val="false"/>
                <w:sz w:val="19"/>
                <w:szCs w:val="19"/>
              </w:rPr>
              <w:t xml:space="preserve">52 min</w:t>
            </w:r>
          </w:p>
        </w:tc>
        <w:tc>
          <w:tcPr>
            <w:tcW w:type="dxa" w:w="1300"/>
            <w:tcMar>
              <w:top w:type="dxa" w:w="60"/>
              <w:left w:type="dxa" w:w="100"/>
              <w:bottom w:type="dxa" w:w="60"/>
              <w:right w:type="dxa" w:w="100"/>
            </w:tcMar>
          </w:tcPr>
          <w:p>
            <w:r>
              <w:rPr>
                <w:b w:val="false"/>
                <w:bCs w:val="false"/>
                <w:i w:val="false"/>
                <w:iCs w:val="false"/>
                <w:sz w:val="19"/>
                <w:szCs w:val="19"/>
              </w:rPr>
              <w:t xml:space="preserve">kinyarwanda</w:t>
            </w:r>
          </w:p>
        </w:tc>
        <w:tc>
          <w:tcPr>
            <w:tcW w:type="dxa" w:w="4076"/>
            <w:tcMar>
              <w:top w:type="dxa" w:w="60"/>
              <w:left w:type="dxa" w:w="100"/>
              <w:bottom w:type="dxa" w:w="60"/>
              <w:right w:type="dxa" w:w="100"/>
            </w:tcMar>
          </w:tcPr>
          <w:p>
            <w:r>
              <w:rPr>
                <w:b w:val="false"/>
                <w:bCs w:val="false"/>
                <w:i w:val="false"/>
                <w:iCs w:val="false"/>
                <w:sz w:val="19"/>
                <w:szCs w:val="19"/>
              </w:rPr>
              <w:t xml:space="preserve">Transcription en kinyarwanda, traduction française par le chercheur</w:t>
            </w:r>
          </w:p>
        </w:tc>
      </w:tr>
    </w:tbl>
    <w:p>
      <w:r>
        <w:br w:type="page"/>
      </w:r>
    </w:p>
    <w:p>
      <w:pPr>
        <w:pStyle w:val="Heading1"/>
        <w:spacing w:after="160" w:before="280"/>
      </w:pPr>
      <w:r>
        <w:t xml:space="preserve">3. Annexe 2 — Guides d'observation du service remplis</w:t>
      </w:r>
    </w:p>
    <w:p>
      <w:pPr>
        <w:rPr>
          <w:i/>
          <w:iCs/>
          <w:sz w:val="19"/>
          <w:szCs w:val="19"/>
        </w:rPr>
      </w:pPr>
      <w:r>
        <w:rPr>
          <w:i/>
          <w:iCs/>
          <w:sz w:val="19"/>
          <w:szCs w:val="19"/>
        </w:rPr>
        <w:t xml:space="preserve">Observation non participante, portant sur le service et non sur les personnes. Jamais observé ni consigné : identité ou performance individuelle d'un professionnel, contenu des échanges entre un prestataire et une femme enceinte, toute donnée permettant d'identifier une patiente, tout jugement de conformité d'un geste à une norme. Aucune présence dans la salle pendant l'examen clinique. Une demi-journée par centre.</w:t>
      </w:r>
    </w:p>
    <w:p/>
    <w:p>
      <w:pPr>
        <w:pStyle w:val="Heading2"/>
        <w:spacing w:after="120" w:before="220"/>
      </w:pPr>
      <w:r>
        <w:t xml:space="preserve">Centre CS01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07h30 – 12h20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Deux salles de consultation individuelles fermées et une salle de constantes distincte, avec un paravent devant la table de mesure.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51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 avec un agent affecté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05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et 1 manuel, tous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présent — seul centre observé à en disposer.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fonctionnels, un de réserve sous clé</w:t>
            </w:r>
          </w:p>
        </w:tc>
        <w:tc>
          <w:tcPr>
            <w:tcW w:type="dxa" w:w="3026"/>
            <w:tcMar>
              <w:top w:type="dxa" w:w="60"/>
              <w:left w:type="dxa" w:w="100"/>
              <w:bottom w:type="dxa" w:w="60"/>
              <w:right w:type="dxa" w:w="100"/>
            </w:tcMar>
          </w:tcPr>
          <w:p>
            <w:r>
              <w:rPr>
                <w:b w:val="false"/>
                <w:bCs w:val="false"/>
                <w:i w:val="false"/>
                <w:iCs w:val="false"/>
                <w:sz w:val="19"/>
                <w:szCs w:val="19"/>
              </w:rPr>
              <w:t xml:space="preserve">Utilisé à plusieurs reprises pendant la matinée.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48</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Fiche de stock tenue à jour, seuil de réapprovisionnement inscrit.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fonctionnelles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fixée au mur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90</w:t>
            </w:r>
          </w:p>
        </w:tc>
        <w:tc>
          <w:tcPr>
            <w:tcW w:type="dxa" w:w="2400"/>
            <w:tcMar>
              <w:top w:type="dxa" w:w="60"/>
              <w:left w:type="dxa" w:w="100"/>
              <w:bottom w:type="dxa" w:w="60"/>
              <w:right w:type="dxa" w:w="100"/>
            </w:tcMar>
          </w:tcPr>
          <w:p>
            <w:r>
              <w:rPr>
                <w:b w:val="false"/>
                <w:bCs w:val="false"/>
                <w:i w:val="false"/>
                <w:iCs w:val="false"/>
                <w:sz w:val="19"/>
                <w:szCs w:val="19"/>
              </w:rPr>
              <w:t xml:space="preserve">péremption 06/2027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 aucune rupture signalée sur la période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au poste de constantes, en kinyarwanda, avec seuils et conduite à tenir.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Algorithme affiché à côté du précédent, avec les critères de dépistage ciblé.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à deux volets ; le second volet (contre-référence) revient parfois rempli de l'hôpital — huit retours classés sur le trimestre.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Quatre affiches illustrées en kinyarwanda, dont une sur la tension pendant la grossesse ; un dépliant à emporter, en nombre limité.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sur la quasi-totalité des lignes. Colonne glycémie renseignée sur environ une ligne sur trois, ce qui correspond au dépistage ciblé décrit par l'équipe.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registre de référence et classeur des contre-références</w:t>
            </w:r>
          </w:p>
        </w:tc>
      </w:tr>
    </w:tbl>
    <w:p/>
    <w:p>
      <w:pPr>
        <w:pStyle w:val="Heading3"/>
        <w:spacing w:after="100" w:before="180"/>
      </w:pPr>
      <w:r>
        <w:t xml:space="preserve">E. Notes contextuelles libres</w:t>
      </w:r>
    </w:p>
    <w:p>
      <w:pPr>
        <w:rPr>
          <w:sz w:val="20"/>
          <w:szCs w:val="20"/>
        </w:rPr>
      </w:pPr>
      <w:r>
        <w:rPr>
          <w:sz w:val="20"/>
          <w:szCs w:val="20"/>
        </w:rPr>
        <w:t xml:space="preserve">Centre le mieux doté des seize observés, et le seul où le dépistage glycémique se fait sous les yeux de l'observateur. Affluence la plus forte de la série, absorbée par une organisation en trois postes. Un stagiaire est présent au poste de constantes, encadré. Une femme demande un dépliant ; il n'en reste plus en fin de matinée.</w:t>
      </w:r>
    </w:p>
    <w:p/>
    <w:p>
      <w:pPr>
        <w:pStyle w:val="Heading3"/>
        <w:spacing w:after="100" w:before="180"/>
      </w:pPr>
      <w:r>
        <w:t xml:space="preserve">F. Réflexivité</w:t>
      </w:r>
    </w:p>
    <w:p>
      <w:pPr>
        <w:rPr>
          <w:sz w:val="20"/>
          <w:szCs w:val="20"/>
        </w:rPr>
      </w:pPr>
      <w:r>
        <w:rPr>
          <w:sz w:val="20"/>
          <w:szCs w:val="20"/>
        </w:rPr>
        <w:t xml:space="preserve">Ce centre change la lecture de l'ensemble : il montre que le dépistage complet est réalisable dans le district, et non une exigence hors d'atteinte. Mais il le montre dans le secteur le moins pauvre et le plus proche de l'hôpital — la variable équité se lit donc dans la répartition des moyens entre centres, autant que dans les pratiques au sein d'un centre. À ne pas présenter comme un modèle transposable sans dire ce qui le rend possible.</w:t>
      </w:r>
    </w:p>
    <w:p>
      <w:r>
        <w:br w:type="page"/>
      </w:r>
    </w:p>
    <w:p/>
    <w:p>
      <w:pPr>
        <w:pStyle w:val="Heading2"/>
        <w:spacing w:after="120" w:before="220"/>
      </w:pPr>
      <w:r>
        <w:t xml:space="preserve">Centre CS02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07/09/2026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12h15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La salle de consultation ferme, mais la prise des constantes se fait dans le couloir d'attente, où les valeurs sont annoncées à voix audible.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table dédiée dans le couloir</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 entre entrée et sortie (estimation de flux, sans suivi individuel)</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dont la poire fuit</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un seul brassard adulte standard pour les deux appareils.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 (test de contrôle effectué par l'équipe le matin)</w:t>
            </w:r>
          </w:p>
        </w:tc>
        <w:tc>
          <w:tcPr>
            <w:tcW w:type="dxa" w:w="3026"/>
            <w:tcMar>
              <w:top w:type="dxa" w:w="60"/>
              <w:left w:type="dxa" w:w="100"/>
              <w:bottom w:type="dxa" w:w="60"/>
              <w:right w:type="dxa" w:w="100"/>
            </w:tcMar>
          </w:tcPr>
          <w:p>
            <w:r>
              <w:rPr>
                <w:b w:val="false"/>
                <w:bCs w:val="false"/>
                <w:i w:val="false"/>
                <w:iCs w:val="false"/>
                <w:sz w:val="19"/>
                <w:szCs w:val="19"/>
              </w:rPr>
              <w:t xml:space="preserve">Non utilisé pendant la demi-journée.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Dernier flacon périmé en mars 2026, conservé dans le tiroir.</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08/2027</w:t>
            </w:r>
          </w:p>
        </w:tc>
        <w:tc>
          <w:tcPr>
            <w:tcW w:type="dxa" w:w="3026"/>
            <w:tcMar>
              <w:top w:type="dxa" w:w="60"/>
              <w:left w:type="dxa" w:w="100"/>
              <w:bottom w:type="dxa" w:w="60"/>
              <w:right w:type="dxa" w:w="100"/>
            </w:tcMar>
          </w:tcPr>
          <w:p>
            <w:r>
              <w:rPr>
                <w:b w:val="false"/>
                <w:bCs w:val="false"/>
                <w:i w:val="false"/>
                <w:iCs w:val="false"/>
                <w:sz w:val="19"/>
                <w:szCs w:val="19"/>
              </w:rPr>
              <w:t xml:space="preserve">Utilisées systématiquement (protéinurie).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rupture continue signalée par l'équipe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plastifiée au mur, en anglais, datée 2021.</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propre au diabète gestationnel.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Carnet de référence à souches vers l'hôpital de district.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Deux affiches en kinyarwanda sur l'alimentation de la femme enceinte ; aucune sur l'HTA ou le diabète. Texte dense, peu d'illustrations : lisibilité faible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La colonne tension artérielle est renseignée sur la quasi-totalité des lignes consultées. Aucune colonne glycémie dans le registre en usage.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du carnet de référence conservées, 4 références pour tension élevée sur le mois en cours</w:t>
            </w:r>
          </w:p>
        </w:tc>
      </w:tr>
    </w:tbl>
    <w:p/>
    <w:p>
      <w:pPr>
        <w:pStyle w:val="Heading3"/>
        <w:spacing w:after="100" w:before="180"/>
      </w:pPr>
      <w:r>
        <w:t xml:space="preserve">E. Notes contextuelles libres</w:t>
      </w:r>
    </w:p>
    <w:p>
      <w:pPr>
        <w:rPr>
          <w:sz w:val="20"/>
          <w:szCs w:val="20"/>
        </w:rPr>
      </w:pPr>
      <w:r>
        <w:rPr>
          <w:sz w:val="20"/>
          <w:szCs w:val="20"/>
        </w:rPr>
        <w:t xml:space="preserve">Affluence forte dès 07h30 ; file d'attente extérieure sous auvent. Deux interruptions pour une urgence obstétricale, la consultation prénatale suspendue environ vingt-cinq minutes. Le personnel s'organise sans consigne écrite visible : la répartition des tâches se règle oralement. Une professionnelle annonce à voix haute, depuis le couloir, une valeur de tension à une collègue située dans la salle.</w:t>
      </w:r>
    </w:p>
    <w:p/>
    <w:p>
      <w:pPr>
        <w:pStyle w:val="Heading3"/>
        <w:spacing w:after="100" w:before="180"/>
      </w:pPr>
      <w:r>
        <w:t xml:space="preserve">F. Réflexivité</w:t>
      </w:r>
    </w:p>
    <w:p>
      <w:pPr>
        <w:rPr>
          <w:sz w:val="20"/>
          <w:szCs w:val="20"/>
        </w:rPr>
      </w:pPr>
      <w:r>
        <w:rPr>
          <w:sz w:val="20"/>
          <w:szCs w:val="20"/>
        </w:rPr>
        <w:t xml:space="preserve">Je pensais que la contrainte principale serait l'équipement. Ici l'équipement de mesure de la tension existe : ce qui manque, c'est l'espace pour dire un résultat sans qu'il soit entendu, et les bandelettes de glycémie. Contraste avec les entretiens : les deux participants de ce centre décrivent une explication individualisée, que la configuration du couloir rend matériellement difficile à tenir. Ma présence, assise près de l'entrée, a probablement accru le soin apporté au lavage des mains les premières minutes.</w:t>
      </w:r>
    </w:p>
    <w:p>
      <w:r>
        <w:br w:type="page"/>
      </w:r>
    </w:p>
    <w:p/>
    <w:p>
      <w:pPr>
        <w:pStyle w:val="Heading2"/>
        <w:spacing w:after="120" w:before="220"/>
      </w:pPr>
      <w:r>
        <w:t xml:space="preserve">Centre CS03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17/08/2026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Une salle de consultation individuelle et une salle de constantes fermée.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salle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2 électroniques fonctionnels</w:t>
            </w:r>
          </w:p>
        </w:tc>
        <w:tc>
          <w:tcPr>
            <w:tcW w:type="dxa" w:w="3026"/>
            <w:tcMar>
              <w:top w:type="dxa" w:w="60"/>
              <w:left w:type="dxa" w:w="100"/>
              <w:bottom w:type="dxa" w:w="60"/>
              <w:right w:type="dxa" w:w="100"/>
            </w:tcMar>
          </w:tcPr>
          <w:p>
            <w:r>
              <w:rPr>
                <w:b w:val="false"/>
                <w:bCs w:val="false"/>
                <w:i w:val="false"/>
                <w:iCs w:val="false"/>
                <w:sz w:val="19"/>
                <w:szCs w:val="19"/>
              </w:rPr>
              <w:t xml:space="preserve">Brassard grande taille absent ; signalé par l'équipe comme une gêne pour les patientes corpulentes.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Stock faible ; l'équipe déclare les réserver aux femmes présentant des facteurs de risque.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 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60</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complets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rupture pendant environ six semaines (juin-juillet 2026),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Affiche au poste de constantes, en kinyarwanda, avec seuils de renvoi.</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d'un algorithme rangée dans un classeur, non affichée.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standardisée, avec copie conservée.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Trois affiches en kinyarwanda, dont une sur les signes de danger de la grossesse mentionnant la tension élevée. Illustrations présentes.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artérielle renseignée régulièrement. Colonne glycémie présente mais renseignée sur une minorité de lignes.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colonne d'orientation renseignée, 7 références sur le mois en cours dont 5 pour tension élevée</w:t>
            </w:r>
          </w:p>
        </w:tc>
      </w:tr>
    </w:tbl>
    <w:p/>
    <w:p>
      <w:pPr>
        <w:pStyle w:val="Heading3"/>
        <w:spacing w:after="100" w:before="180"/>
      </w:pPr>
      <w:r>
        <w:t xml:space="preserve">E. Notes contextuelles libres</w:t>
      </w:r>
    </w:p>
    <w:p>
      <w:pPr>
        <w:rPr>
          <w:sz w:val="20"/>
          <w:szCs w:val="20"/>
        </w:rPr>
      </w:pPr>
      <w:r>
        <w:rPr>
          <w:sz w:val="20"/>
          <w:szCs w:val="20"/>
        </w:rPr>
        <w:t xml:space="preserve">Organisation la plus formalisée des cinq centres observés. Un agent affecté aux constantes pendant toute la matinée. Une femme est repassée deux fois au poste de constantes, la première mesure ayant été jugée élevée : la reprise après repos est une pratique visible, non écrite. Affluence soutenue mais file gérée par numéros d'ordre.</w:t>
      </w:r>
    </w:p>
    <w:p/>
    <w:p>
      <w:pPr>
        <w:pStyle w:val="Heading3"/>
        <w:spacing w:after="100" w:before="180"/>
      </w:pPr>
      <w:r>
        <w:t xml:space="preserve">F. Réflexivité</w:t>
      </w:r>
    </w:p>
    <w:p>
      <w:pPr>
        <w:rPr>
          <w:sz w:val="20"/>
          <w:szCs w:val="20"/>
        </w:rPr>
      </w:pPr>
      <w:r>
        <w:rPr>
          <w:sz w:val="20"/>
          <w:szCs w:val="20"/>
        </w:rPr>
        <w:t xml:space="preserve">Ce centre montre qu'une partie de ce que les participants attribuent au manque de moyens relève en réalité de l'organisation : la salle de constantes distincte suffit à rendre possible ce qui est impossible ailleurs. À nuancer : c'est aussi le centre le mieux doté en personnel. Aucun écart marquant entre propos et constats ici, ce qui doit être noté autant que les écarts.</w:t>
      </w:r>
    </w:p>
    <w:p>
      <w:r>
        <w:br w:type="page"/>
      </w:r>
    </w:p>
    <w:p/>
    <w:p>
      <w:pPr>
        <w:pStyle w:val="Heading2"/>
        <w:spacing w:after="120" w:before="220"/>
      </w:pPr>
      <w:r>
        <w:t xml:space="preserve">Centre CS04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21/09/2026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08h15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 fenêtre donne sur l'attente et reste ouverte pour la ventilation.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Stéthoscope usé ; l'équipe signale une difficulté d'auscultation en ambiance bruyante.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15</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rupture d'environ deux semaines en août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Fiche de référence du district, sans volet de retour.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quatre lignes sur cinq.</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souches conservées</w:t>
            </w:r>
          </w:p>
        </w:tc>
      </w:tr>
    </w:tbl>
    <w:p/>
    <w:p>
      <w:pPr>
        <w:pStyle w:val="Heading3"/>
        <w:spacing w:after="100" w:before="180"/>
      </w:pPr>
      <w:r>
        <w:t xml:space="preserve">E. Notes contextuelles libres</w:t>
      </w:r>
    </w:p>
    <w:p>
      <w:pPr>
        <w:rPr>
          <w:sz w:val="20"/>
          <w:szCs w:val="20"/>
        </w:rPr>
      </w:pPr>
      <w:r>
        <w:rPr>
          <w:sz w:val="20"/>
          <w:szCs w:val="20"/>
        </w:rPr>
        <w:t xml:space="preserve">Matinée calme. Le titulaire assure à la fois la CPN et les rapports, et s'absente vingt minutes pour une réunion téléphonique avec le district. Pendant ce temps, la seconde professionnelle poursuit seule.</w:t>
      </w:r>
    </w:p>
    <w:p/>
    <w:p>
      <w:pPr>
        <w:pStyle w:val="Heading3"/>
        <w:spacing w:after="100" w:before="180"/>
      </w:pPr>
      <w:r>
        <w:t xml:space="preserve">F. Réflexivité</w:t>
      </w:r>
    </w:p>
    <w:p>
      <w:pPr>
        <w:rPr>
          <w:sz w:val="20"/>
          <w:szCs w:val="20"/>
        </w:rPr>
      </w:pPr>
      <w:r>
        <w:rPr>
          <w:sz w:val="20"/>
          <w:szCs w:val="20"/>
        </w:rPr>
        <w:t xml:space="preserve">Centre « moyen » à tous égards : ni démuni, ni outillé. C'est précisément ce profil, le plus fréquent, qui manquait à la vague 1, construite sur des contrastes. Rien de marquant entre propos et constats.</w:t>
      </w:r>
    </w:p>
    <w:p>
      <w:r>
        <w:br w:type="page"/>
      </w:r>
    </w:p>
    <w:p/>
    <w:p>
      <w:pPr>
        <w:pStyle w:val="Heading2"/>
        <w:spacing w:after="120" w:before="220"/>
      </w:pPr>
      <w:r>
        <w:t xml:space="preserve">Centre CS05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08h40 – 12h10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sous un auvent distant de quelques mètres.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19</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Inutilisable faute de bandelettes valides.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PÉRIMÉES depuis 05/2026</w:t>
            </w:r>
          </w:p>
        </w:tc>
        <w:tc>
          <w:tcPr>
            <w:tcW w:type="dxa" w:w="3026"/>
            <w:tcMar>
              <w:top w:type="dxa" w:w="60"/>
              <w:left w:type="dxa" w:w="100"/>
              <w:bottom w:type="dxa" w:w="60"/>
              <w:right w:type="dxa" w:w="100"/>
            </w:tcMar>
          </w:tcPr>
          <w:p>
            <w:r>
              <w:rPr>
                <w:b w:val="false"/>
                <w:bCs w:val="false"/>
                <w:i w:val="false"/>
                <w:iCs w:val="false"/>
                <w:sz w:val="19"/>
                <w:szCs w:val="19"/>
              </w:rPr>
              <w:t xml:space="preserve">Flacons conservés dans l'armoire ; l'équipe dit attendre leur remplacement.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35</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valides absentes depuis mai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Rangé dans un classeur sur le bureau.</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Pas de colonne glycémie.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la plus faible des centres ruraux observés. L'équipe explique que la route d'accès devient impraticable en saison des pluies et que la fréquentation chute alors fortement. Une femme arrive à pied après, dit-elle, plus de deux heures de marche.</w:t>
      </w:r>
    </w:p>
    <w:p/>
    <w:p>
      <w:pPr>
        <w:pStyle w:val="Heading3"/>
        <w:spacing w:after="100" w:before="180"/>
      </w:pPr>
      <w:r>
        <w:t xml:space="preserve">F. Réflexivité</w:t>
      </w:r>
    </w:p>
    <w:p>
      <w:pPr>
        <w:rPr>
          <w:sz w:val="20"/>
          <w:szCs w:val="20"/>
        </w:rPr>
      </w:pPr>
      <w:r>
        <w:rPr>
          <w:sz w:val="20"/>
          <w:szCs w:val="20"/>
        </w:rPr>
        <w:t xml:space="preserve">Le paradoxe de ce centre — un glucomètre en état de marche et trente bandelettes inutilisables — dit quelque chose du circuit d'approvisionnement que l'inventaire « présent / absent » ne capte pas : l'intrant est là, et il ne sert pas. La grille devrait distinguer « présent » et « utilisable » ; à proposer en révision de l'annexe 2.</w:t>
      </w:r>
    </w:p>
    <w:p>
      <w:r>
        <w:br w:type="page"/>
      </w:r>
    </w:p>
    <w:p/>
    <w:p>
      <w:pPr>
        <w:pStyle w:val="Heading2"/>
        <w:spacing w:after="120" w:before="220"/>
      </w:pPr>
      <w:r>
        <w:t xml:space="preserve">Centre CS06 — secteur urbain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22/09/2026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07h45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dont une sert aussi au planning familial ; les constantes sont prises dans un couloir semi-ouvert.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oui, tenu ce jour-là par un stagiaire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35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électronique en panne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toise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50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 quantité insuffisante, réapprovisionnement partiel</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 en anglais.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la nutrition, en kinyarwanda.</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 écritures de plusieurs mains différentes sur une même semaine.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Centre situé sur l'axe routier, affluence forte. L'équipe indique que deux professionnels ont été réaffectés dans l'année ; la participante interrogée est arrivée il y a moins de deux ans. Le stagiaire au poste de constantes annonce les valeurs à voix haute.</w:t>
      </w:r>
    </w:p>
    <w:p/>
    <w:p>
      <w:pPr>
        <w:pStyle w:val="Heading3"/>
        <w:spacing w:after="100" w:before="180"/>
      </w:pPr>
      <w:r>
        <w:t xml:space="preserve">F. Réflexivité</w:t>
      </w:r>
    </w:p>
    <w:p>
      <w:pPr>
        <w:rPr>
          <w:sz w:val="20"/>
          <w:szCs w:val="20"/>
        </w:rPr>
      </w:pPr>
      <w:r>
        <w:rPr>
          <w:sz w:val="20"/>
          <w:szCs w:val="20"/>
        </w:rPr>
        <w:t xml:space="preserve">La multiplicité des écritures dans le registre et la présence d'un stagiaire aux constantes rendent visible un facteur que la vague 1 n'avait pas fait apparaître : la rotation du personnel. Elle dilue les consignes et interrompt la transmission des pratiques — à rapprocher du code « transmission informelle entre collègues ».</w:t>
      </w:r>
    </w:p>
    <w:p>
      <w:r>
        <w:br w:type="page"/>
      </w:r>
    </w:p>
    <w:p/>
    <w:p>
      <w:pPr>
        <w:pStyle w:val="Heading2"/>
        <w:spacing w:after="120" w:before="220"/>
      </w:pPr>
      <w:r>
        <w:t xml:space="preserve">Centre CS07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CS07</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séparée de l'attente par un rideau en tissu ; les échanges sont audibles depuis le banc d'attente.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27</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sur la même table que l'examen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10, l'essentiel en attente</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Un seul appareil pour la consultation prénatale et le service curatif ; déplacé entre les deux.</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 appareil dans le centre. L'équipe indique que les glycémies se font à l'hôpital de district.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Sans objet en l'absence d'appareil.</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 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20</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Stock faible, usage déclaré sélectif.</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solution hydroalcoolique absente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en rupture environ trois semaines en juillet 2026</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document affiché ni disponible au poste de travail.</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Pas de fiche dédiée ; l'orientation est écrite à la main sur le carnet de la femme.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Aucun support visible dans la salle ni dans l'attente.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présente, renseignée de façon irrégulière : plusieurs lignes vides sur les pages consultées.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 — aucune trace systématique des orientations ; mention manuscrite sur le carnet de la femme uniquement</w:t>
            </w:r>
          </w:p>
        </w:tc>
      </w:tr>
    </w:tbl>
    <w:p/>
    <w:p>
      <w:pPr>
        <w:pStyle w:val="Heading3"/>
        <w:spacing w:after="100" w:before="180"/>
      </w:pPr>
      <w:r>
        <w:t xml:space="preserve">E. Notes contextuelles libres</w:t>
      </w:r>
    </w:p>
    <w:p>
      <w:pPr>
        <w:rPr>
          <w:sz w:val="20"/>
          <w:szCs w:val="20"/>
        </w:rPr>
      </w:pPr>
      <w:r>
        <w:rPr>
          <w:sz w:val="20"/>
          <w:szCs w:val="20"/>
        </w:rPr>
        <w:t xml:space="preserve">Deux professionnelles assurent seules la matinée, dont une également chargée de la vaccination : elle quitte la salle à plusieurs reprises. Le rideau laisse passer les voix ; une femme baisse la sienne lorsqu'elle répond. Le tensiomètre est emporté vers le service curatif pendant environ quarante minutes, période pendant laquelle les constantes ne sont pas prises.</w:t>
      </w:r>
    </w:p>
    <w:p/>
    <w:p>
      <w:pPr>
        <w:pStyle w:val="Heading3"/>
        <w:spacing w:after="100" w:before="180"/>
      </w:pPr>
      <w:r>
        <w:t xml:space="preserve">F. Réflexivité</w:t>
      </w:r>
    </w:p>
    <w:p>
      <w:pPr>
        <w:rPr>
          <w:sz w:val="20"/>
          <w:szCs w:val="20"/>
        </w:rPr>
      </w:pPr>
      <w:r>
        <w:rPr>
          <w:sz w:val="20"/>
          <w:szCs w:val="20"/>
        </w:rPr>
        <w:t xml:space="preserve">L'absence de tout support d'information écrit change la portée de la question de la capacitation : ce qui n'est pas dit oralement n'est rattrapé par rien. Contraste net avec les entretiens : la jeune sage-femme de ce centre dit n'avoir jamais réalisé de glycémie — le constat matériel explique cette déclaration sans qu'il faille l'attribuer à sa pratique. Ma présence dans une salle unique a certainement pesé ; je me suis placé à l'extérieur du rideau après vingt minutes.</w:t>
      </w:r>
    </w:p>
    <w:p>
      <w:r>
        <w:br w:type="page"/>
      </w:r>
    </w:p>
    <w:p/>
    <w:p>
      <w:pPr>
        <w:pStyle w:val="Heading2"/>
        <w:spacing w:after="120" w:before="220"/>
      </w:pPr>
      <w:r>
        <w:t xml:space="preserve">Centre CS08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CS08</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11h50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l'attente se fait dans une pièce distincte.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28</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22</w:t>
            </w:r>
          </w:p>
        </w:tc>
        <w:tc>
          <w:tcPr>
            <w:tcW w:type="dxa" w:w="2400"/>
            <w:tcMar>
              <w:top w:type="dxa" w:w="60"/>
              <w:left w:type="dxa" w:w="100"/>
              <w:bottom w:type="dxa" w:w="60"/>
              <w:right w:type="dxa" w:w="100"/>
            </w:tcMar>
          </w:tcPr>
          <w:p>
            <w:r>
              <w:rPr>
                <w:b w:val="false"/>
                <w:bCs w:val="false"/>
                <w:i w:val="false"/>
                <w:iCs w:val="false"/>
                <w:sz w:val="19"/>
                <w:szCs w:val="19"/>
              </w:rPr>
              <w:t xml:space="preserve">péremption 05/2027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 renseigné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FAITE À LA MAIN par l'équipe, en kinyarwanda, sur les signes de danger de la grossesse, dont « maux de tête forts » et « gonflement du visage ». Dessins simples, lisible pour une personne peu alphabétisée.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Deux agents de santé communautaire passent dans la matinée : l'un apporte la liste des femmes enceintes repérées dans son village, l'autre raccompagne une femme orientée la semaine précédente. L'équipe et les agents se connaissent par leur nom.</w:t>
      </w:r>
    </w:p>
    <w:p/>
    <w:p>
      <w:pPr>
        <w:pStyle w:val="Heading3"/>
        <w:spacing w:after="100" w:before="180"/>
      </w:pPr>
      <w:r>
        <w:t xml:space="preserve">F. Réflexivité</w:t>
      </w:r>
    </w:p>
    <w:p>
      <w:pPr>
        <w:rPr>
          <w:sz w:val="20"/>
          <w:szCs w:val="20"/>
        </w:rPr>
      </w:pPr>
      <w:r>
        <w:rPr>
          <w:sz w:val="20"/>
          <w:szCs w:val="20"/>
        </w:rPr>
        <w:t xml:space="preserve">L'affiche faite à la main est l'élément le plus instructif de la journée : elle montre une réponse locale à l'absence de supports fournis, et elle est plus lisible que les affiches imprimées vues ailleurs. Le lien avec les agents de santé communautaire ouvre une piste absente du cadre conceptuel : le relais communautaire comme prolongement du dépistage.</w:t>
      </w:r>
    </w:p>
    <w:p>
      <w:r>
        <w:br w:type="page"/>
      </w:r>
    </w:p>
    <w:p/>
    <w:p>
      <w:pPr>
        <w:pStyle w:val="Heading2"/>
        <w:spacing w:after="120" w:before="220"/>
      </w:pPr>
      <w:r>
        <w:t xml:space="preserve">Centre CS09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CS09</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23/09/2026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11h30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Bâtiment récent ; salle fermée, carrelée, bien éclairée.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14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10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NEUF, fonctionnel</w:t>
            </w:r>
          </w:p>
        </w:tc>
        <w:tc>
          <w:tcPr>
            <w:tcW w:type="dxa" w:w="3026"/>
            <w:tcMar>
              <w:top w:type="dxa" w:w="60"/>
              <w:left w:type="dxa" w:w="100"/>
              <w:bottom w:type="dxa" w:w="60"/>
              <w:right w:type="dxa" w:w="100"/>
            </w:tcMar>
          </w:tcPr>
          <w:p>
            <w:r>
              <w:rPr>
                <w:b w:val="false"/>
                <w:bCs w:val="false"/>
                <w:i w:val="false"/>
                <w:iCs w:val="false"/>
                <w:sz w:val="19"/>
                <w:szCs w:val="19"/>
              </w:rPr>
              <w:t xml:space="preserve">Reçu à l'ouverture du centre.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Prévu dans la dotation selon l'équipe, non livré.</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neuve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Non encore livrées.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sans objet — dotation initiale incomplète, non une rupture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écrite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Le registre standard n'est pas encore livré : un cahier quadrillé en tient lieu, avec des colonnes tracées à la règle.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 (colonne tracée à la main)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présente dans le cahier et renseignée ; la tenue dépend entièrement de l'équipe, sans modèle imposé.</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Ancien poste de santé récemment érigé en centre de santé. Le bâtiment et l'équipement de base sont neufs ; les supports, les intrants et la dotation complète ne suivent pas encore. Faible fréquentation, que l'équipe attribue au fait que la population continue de se rendre à l'ancien centre de rattachement.</w:t>
      </w:r>
    </w:p>
    <w:p/>
    <w:p>
      <w:pPr>
        <w:pStyle w:val="Heading3"/>
        <w:spacing w:after="100" w:before="180"/>
      </w:pPr>
      <w:r>
        <w:t xml:space="preserve">F. Réflexivité</w:t>
      </w:r>
    </w:p>
    <w:p>
      <w:pPr>
        <w:rPr>
          <w:sz w:val="20"/>
          <w:szCs w:val="20"/>
        </w:rPr>
      </w:pPr>
      <w:r>
        <w:rPr>
          <w:sz w:val="20"/>
          <w:szCs w:val="20"/>
        </w:rPr>
        <w:t xml:space="preserve">Ce centre montre une forme d'inégalité qui n'est ni une rupture ni une panne : une dotation qui n'est pas encore arrivée. Il interroge le calendrier de mise en service plus que la gestion courante — élément non anticipé par la grille.</w:t>
      </w:r>
    </w:p>
    <w:p>
      <w:r>
        <w:br w:type="page"/>
      </w:r>
    </w:p>
    <w:p/>
    <w:p>
      <w:pPr>
        <w:pStyle w:val="Heading2"/>
        <w:spacing w:after="120" w:before="220"/>
      </w:pPr>
      <w:r>
        <w:t xml:space="preserve">Centre CS10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CS10</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07h50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un passage vers la pharmacie la traverse.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14</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30</w:t>
            </w:r>
          </w:p>
        </w:tc>
        <w:tc>
          <w:tcPr>
            <w:tcW w:type="dxa" w:w="2400"/>
            <w:tcMar>
              <w:top w:type="dxa" w:w="60"/>
              <w:left w:type="dxa" w:w="100"/>
              <w:bottom w:type="dxa" w:w="60"/>
              <w:right w:type="dxa" w:w="100"/>
            </w:tcMar>
          </w:tcPr>
          <w:p>
            <w:r>
              <w:rPr>
                <w:b w:val="false"/>
                <w:bCs w:val="false"/>
                <w:i w:val="false"/>
                <w:iCs w:val="false"/>
                <w:sz w:val="19"/>
                <w:szCs w:val="19"/>
              </w:rPr>
              <w:t xml:space="preserve">péremption 03/2027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Affiché.</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Une proportion notable de lignes ne comporte qu'une seule visite, sans suite.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Population décrite par l'équipe comme mobile : travailleuses agricoles saisonnières, femmes de passage venant d'autres secteurs ou d'autres districts. Plusieurs femmes présentent un carnet ouvert ailleurs. Le registre comporte de nombreuses premières visites sans visite suivante.</w:t>
      </w:r>
    </w:p>
    <w:p/>
    <w:p>
      <w:pPr>
        <w:pStyle w:val="Heading3"/>
        <w:spacing w:after="100" w:before="180"/>
      </w:pPr>
      <w:r>
        <w:t xml:space="preserve">F. Réflexivité</w:t>
      </w:r>
    </w:p>
    <w:p>
      <w:pPr>
        <w:rPr>
          <w:sz w:val="20"/>
          <w:szCs w:val="20"/>
        </w:rPr>
      </w:pPr>
      <w:r>
        <w:rPr>
          <w:sz w:val="20"/>
          <w:szCs w:val="20"/>
        </w:rPr>
        <w:t xml:space="preserve">La mobilité des femmes pose une question que le cadre conceptuel ne traite pas : le dépistage suppose une continuité de suivi que la trajectoire même de certaines femmes rend impossible. Les lignes sans suite du registre ne sont pas des « perdues de vue » au sens habituel : elles ont pu être suivies ailleurs. À ne pas interpréter comme un défaut du service.</w:t>
      </w:r>
    </w:p>
    <w:p>
      <w:r>
        <w:br w:type="page"/>
      </w:r>
    </w:p>
    <w:p/>
    <w:p>
      <w:pPr>
        <w:pStyle w:val="Heading2"/>
        <w:spacing w:after="120" w:before="220"/>
      </w:pPr>
      <w:r>
        <w:t xml:space="preserve">Centre CS11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CS11</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31/08/2026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porte restant ouverte pour la lumière ; l'attente se tient sous un auvent contigu.</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31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EN PANNE (affichage d'erreur répété) ; 1 manuel emprunté au service curatif</w:t>
            </w:r>
          </w:p>
        </w:tc>
        <w:tc>
          <w:tcPr>
            <w:tcW w:type="dxa" w:w="3026"/>
            <w:tcMar>
              <w:top w:type="dxa" w:w="60"/>
              <w:left w:type="dxa" w:w="100"/>
              <w:bottom w:type="dxa" w:w="60"/>
              <w:right w:type="dxa" w:w="100"/>
            </w:tcMar>
          </w:tcPr>
          <w:p>
            <w:r>
              <w:rPr>
                <w:b w:val="false"/>
                <w:bCs w:val="false"/>
                <w:i w:val="false"/>
                <w:iCs w:val="false"/>
                <w:sz w:val="19"/>
                <w:szCs w:val="19"/>
              </w:rPr>
              <w:t xml:space="preserve">L'appareil électronique est conservé sur la table, hors d'usage depuis plusieurs semaines selon l'équipe. Le manuel n'est pas toujours disponible.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Aucune depuis environ quatre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 usé</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8</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Stock très faible.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partiellement</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quatre mois) et bandelettes urinaires (rupture intermittente)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Orientation orale et mention sur le carnet.</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souvent vide : sur une page de trente lignes consultée, quatorze valeurs manquantes.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E. Notes contextuelles libres</w:t>
      </w:r>
    </w:p>
    <w:p>
      <w:pPr>
        <w:rPr>
          <w:sz w:val="20"/>
          <w:szCs w:val="20"/>
        </w:rPr>
      </w:pPr>
      <w:r>
        <w:rPr>
          <w:sz w:val="20"/>
          <w:szCs w:val="20"/>
        </w:rPr>
        <w:t xml:space="preserve">Le centre le plus démuni des cinq. La mesure de la tension dépend de la disponibilité du tensiomètre manuel partagé : pendant l'observation, plusieurs femmes sortent de la salle sans qu'une mesure ait été prise. Ambiance calme, sans tension apparente entre les professionnels et les femmes. Une femme demande spontanément qu'on lui « mesure le bras », ce qui suggère une attente installée.</w:t>
      </w:r>
    </w:p>
    <w:p/>
    <w:p>
      <w:pPr>
        <w:pStyle w:val="Heading3"/>
        <w:spacing w:after="100" w:before="180"/>
      </w:pPr>
      <w:r>
        <w:t xml:space="preserve">F. Réflexivité</w:t>
      </w:r>
    </w:p>
    <w:p>
      <w:pPr>
        <w:rPr>
          <w:sz w:val="20"/>
          <w:szCs w:val="20"/>
        </w:rPr>
      </w:pPr>
      <w:r>
        <w:rPr>
          <w:sz w:val="20"/>
          <w:szCs w:val="20"/>
        </w:rPr>
        <w:t xml:space="preserve">C'est ici que l'écart entre le déclaré et le constaté est le plus net, et il n'est pas à imputer à une intention : l'un des participants de ce centre affirme que la tension est prise systématiquement, tandis que le registre et l'observation montrent des mesures manquantes. Cet écart informe sur la distance entre la norme intériorisée et la condition d'exercice, ce que le protocole demande précisément de consigner sans l'imputer à une intention du participant.</w:t>
      </w:r>
    </w:p>
    <w:p>
      <w:r>
        <w:br w:type="page"/>
      </w:r>
    </w:p>
    <w:p/>
    <w:p>
      <w:pPr>
        <w:pStyle w:val="Heading2"/>
        <w:spacing w:after="120" w:before="220"/>
      </w:pPr>
      <w:r>
        <w:t xml:space="preserve">Centre CS12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CS12</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08h00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attente extérieure à distance.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25</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45</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En rupture depuis environ deux mois selon l'équipe.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18</w:t>
            </w:r>
          </w:p>
        </w:tc>
        <w:tc>
          <w:tcPr>
            <w:tcW w:type="dxa" w:w="2400"/>
            <w:tcMar>
              <w:top w:type="dxa" w:w="60"/>
              <w:left w:type="dxa" w:w="100"/>
              <w:bottom w:type="dxa" w:w="60"/>
              <w:right w:type="dxa" w:w="100"/>
            </w:tcMar>
          </w:tcPr>
          <w:p>
            <w:r>
              <w:rPr>
                <w:b w:val="false"/>
                <w:bCs w:val="false"/>
                <w:i w:val="false"/>
                <w:iCs w:val="false"/>
                <w:sz w:val="19"/>
                <w:szCs w:val="19"/>
              </w:rPr>
              <w:t xml:space="preserve">péremption 02/2027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environ deux mois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Photocopie dans un classeur.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 Colonne glycémie renseignée jusqu'à la rupture, vide depuis.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Organisation stable, équipe ancienne. La colonne glycémie du registre montre nettement la date de la rupture : renseignée régulièrement jusqu'à fin juillet, vide ensuite.</w:t>
      </w:r>
    </w:p>
    <w:p/>
    <w:p>
      <w:pPr>
        <w:pStyle w:val="Heading3"/>
        <w:spacing w:after="100" w:before="180"/>
      </w:pPr>
      <w:r>
        <w:t xml:space="preserve">F. Réflexivité</w:t>
      </w:r>
    </w:p>
    <w:p>
      <w:pPr>
        <w:rPr>
          <w:sz w:val="20"/>
          <w:szCs w:val="20"/>
        </w:rPr>
      </w:pPr>
      <w:r>
        <w:rPr>
          <w:sz w:val="20"/>
          <w:szCs w:val="20"/>
        </w:rPr>
        <w:t xml:space="preserve">Le registre est ici un instrument de mesure inattendu : la date de rupture s'y lit sans qu'il soit besoin de la demander. Les registres pourraient servir, dans l'étude réelle, à documenter les ruptures plus sûrement que la mémoire des équipes — sous réserve de rester sur des données agrégées.</w:t>
      </w:r>
    </w:p>
    <w:p>
      <w:r>
        <w:br w:type="page"/>
      </w:r>
    </w:p>
    <w:p/>
    <w:p>
      <w:pPr>
        <w:pStyle w:val="Heading2"/>
        <w:spacing w:after="120" w:before="220"/>
      </w:pPr>
      <w:r>
        <w:t xml:space="preserve">Centre CS13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CS13</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27/09/2026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07h40 – 12h30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Deux salles, portes souvent ouvertes en raison de l'affluence.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46</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 — constantes prises en salle</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2 h 20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w:t>
            </w:r>
          </w:p>
        </w:tc>
        <w:tc>
          <w:tcPr>
            <w:tcW w:type="dxa" w:w="2400"/>
            <w:tcMar>
              <w:top w:type="dxa" w:w="60"/>
              <w:left w:type="dxa" w:w="100"/>
              <w:bottom w:type="dxa" w:w="60"/>
              <w:right w:type="dxa" w:w="100"/>
            </w:tcMar>
          </w:tcPr>
          <w:p>
            <w:r>
              <w:rPr>
                <w:b w:val="false"/>
                <w:bCs w:val="false"/>
                <w:i w:val="false"/>
                <w:iCs w:val="false"/>
                <w:sz w:val="19"/>
                <w:szCs w:val="19"/>
              </w:rPr>
              <w:t xml:space="preserve">1 électronique fonctionnel ; 1 manuel 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9</w:t>
            </w:r>
          </w:p>
        </w:tc>
        <w:tc>
          <w:tcPr>
            <w:tcW w:type="dxa" w:w="2400"/>
            <w:tcMar>
              <w:top w:type="dxa" w:w="60"/>
              <w:left w:type="dxa" w:w="100"/>
              <w:bottom w:type="dxa" w:w="60"/>
              <w:right w:type="dxa" w:w="100"/>
            </w:tcMar>
          </w:tcPr>
          <w:p>
            <w:r>
              <w:rPr>
                <w:b w:val="false"/>
                <w:bCs w:val="false"/>
                <w:i w:val="false"/>
                <w:iCs w:val="false"/>
                <w:sz w:val="19"/>
                <w:szCs w:val="19"/>
              </w:rPr>
              <w:t xml:space="preserve">péremption 11/2026</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40</w:t>
            </w:r>
          </w:p>
        </w:tc>
        <w:tc>
          <w:tcPr>
            <w:tcW w:type="dxa" w:w="2400"/>
            <w:tcMar>
              <w:top w:type="dxa" w:w="60"/>
              <w:left w:type="dxa" w:w="100"/>
              <w:bottom w:type="dxa" w:w="60"/>
              <w:right w:type="dxa" w:w="100"/>
            </w:tcMar>
          </w:tcPr>
          <w:p>
            <w:r>
              <w:rPr>
                <w:b w:val="false"/>
                <w:bCs w:val="false"/>
                <w:i w:val="false"/>
                <w:iCs w:val="false"/>
                <w:sz w:val="19"/>
                <w:szCs w:val="19"/>
              </w:rPr>
              <w:t xml:space="preserve">péremption 04/2027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et solution hydroalcoolique 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non</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Une affiche sur les signes de danger.</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la TOTALITÉ des lignes consultées. Sur les pages examinées, une part très élevée des valeurs inscrites est identique (« 120/80 » ou « 110/70 »), dans une proportion supérieure à celle observée dans les autres centres.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Affluence parmi les plus fortes de la série, dans un centre rural. Trois professionnels pour quarante-six femmes. Pendant la période d'observation, plusieurs femmes sortent de la salle en moins de cinq minutes.</w:t>
      </w:r>
    </w:p>
    <w:p/>
    <w:p>
      <w:pPr>
        <w:pStyle w:val="Heading3"/>
        <w:spacing w:after="100" w:before="180"/>
      </w:pPr>
      <w:r>
        <w:t xml:space="preserve">F. Réflexivité</w:t>
      </w:r>
    </w:p>
    <w:p>
      <w:pPr>
        <w:rPr>
          <w:sz w:val="20"/>
          <w:szCs w:val="20"/>
        </w:rPr>
      </w:pPr>
      <w:r>
        <w:rPr>
          <w:sz w:val="20"/>
          <w:szCs w:val="20"/>
        </w:rPr>
        <w:t xml:space="preserve">La concentration de valeurs identiques dans un registre intégralement rempli ne prouve rien par elle-même et ne doit être imputée à personne : elle peut refléter des valeurs réellement fréquentes, une habitude d'arrondi, ou une inscription faite sans mesure sous la pression de l'affluence. Elle invite en revanche à ne pas lire un registre complet comme la preuve d'un dépistage réalisé. À confronter aux propos de la participante de ce centre, qui aborde elle-même le sujet.</w:t>
      </w:r>
    </w:p>
    <w:p>
      <w:r>
        <w:br w:type="page"/>
      </w:r>
    </w:p>
    <w:p/>
    <w:p>
      <w:pPr>
        <w:pStyle w:val="Heading2"/>
        <w:spacing w:after="120" w:before="220"/>
      </w:pPr>
      <w:r>
        <w:t xml:space="preserve">Centre CS14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CS14</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14/09/2026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08h10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partiellement — Salle fermée, mais l'attente est immédiatement derrière la porte ; les échanges à voix haute sont perceptibles.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24</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fonctionnel</w:t>
            </w:r>
          </w:p>
        </w:tc>
        <w:tc>
          <w:tcPr>
            <w:tcW w:type="dxa" w:w="3026"/>
            <w:tcMar>
              <w:top w:type="dxa" w:w="60"/>
              <w:left w:type="dxa" w:w="100"/>
              <w:bottom w:type="dxa" w:w="60"/>
              <w:right w:type="dxa" w:w="100"/>
            </w:tcMar>
          </w:tcPr>
          <w:p>
            <w:r>
              <w:rPr>
                <w:b w:val="false"/>
                <w:bCs w:val="false"/>
                <w:i w:val="false"/>
                <w:iCs w:val="false"/>
                <w:sz w:val="19"/>
                <w:szCs w:val="19"/>
              </w:rPr>
              <w:t xml:space="preserve">Brassard unique, taille standard.</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NON fonctionnel — message d'erreur persistant</w:t>
            </w:r>
          </w:p>
        </w:tc>
        <w:tc>
          <w:tcPr>
            <w:tcW w:type="dxa" w:w="3026"/>
            <w:tcMar>
              <w:top w:type="dxa" w:w="60"/>
              <w:left w:type="dxa" w:w="100"/>
              <w:bottom w:type="dxa" w:w="60"/>
              <w:right w:type="dxa" w:w="100"/>
            </w:tcMar>
          </w:tcPr>
          <w:p>
            <w:r>
              <w:rPr>
                <w:b w:val="false"/>
                <w:bCs w:val="false"/>
                <w:i w:val="false"/>
                <w:iCs w:val="false"/>
                <w:sz w:val="19"/>
                <w:szCs w:val="19"/>
              </w:rPr>
              <w:t xml:space="preserve">Appareil reçu il y a environ deux ans ; en panne depuis une date que l'équipe ne situe pas précisément.</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fonctionnelle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25</w:t>
            </w:r>
          </w:p>
        </w:tc>
        <w:tc>
          <w:tcPr>
            <w:tcW w:type="dxa" w:w="2400"/>
            <w:tcMar>
              <w:top w:type="dxa" w:w="60"/>
              <w:left w:type="dxa" w:w="100"/>
              <w:bottom w:type="dxa" w:w="60"/>
              <w:right w:type="dxa" w:w="100"/>
            </w:tcMar>
          </w:tcPr>
          <w:p>
            <w:r>
              <w:rPr>
                <w:b w:val="false"/>
                <w:bCs w:val="false"/>
                <w:i w:val="false"/>
                <w:iCs w:val="false"/>
                <w:sz w:val="19"/>
                <w:szCs w:val="19"/>
              </w:rPr>
              <w:t xml:space="preserve">péremption 10/2026</w:t>
            </w:r>
          </w:p>
        </w:tc>
        <w:tc>
          <w:tcPr>
            <w:tcW w:type="dxa" w:w="3026"/>
            <w:tcMar>
              <w:top w:type="dxa" w:w="60"/>
              <w:left w:type="dxa" w:w="100"/>
              <w:bottom w:type="dxa" w:w="60"/>
              <w:right w:type="dxa" w:w="100"/>
            </w:tcMar>
          </w:tcPr>
          <w:p>
            <w:r>
              <w:rPr>
                <w:b w:val="false"/>
                <w:bCs w:val="false"/>
                <w:i w:val="false"/>
                <w:iCs w:val="false"/>
                <w:sz w:val="19"/>
                <w:szCs w:val="19"/>
              </w:rPr>
              <w:t xml:space="preserve">Péremption proche.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présents</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de glycémie, sans objet faute d'appareil fonctionnel ; bandelettes urinaires reçues en petite quantité</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3926"/>
            <w:tcMar>
              <w:top w:type="dxa" w:w="60"/>
              <w:left w:type="dxa" w:w="100"/>
              <w:bottom w:type="dxa" w:w="60"/>
              <w:right w:type="dxa" w:w="100"/>
            </w:tcMar>
          </w:tcPr>
          <w:p>
            <w:r>
              <w:rPr>
                <w:b w:val="false"/>
                <w:bCs w:val="false"/>
                <w:i w:val="false"/>
                <w:iCs w:val="false"/>
                <w:sz w:val="19"/>
                <w:szCs w:val="19"/>
              </w:rPr>
              <w:t xml:space="preserve">Photocopie rangée dans un classeur de bureau, non affichée et non consultée pendant l'observation.</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Cahier de référence tenu par la titulaire.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partiellement</w:t>
            </w:r>
          </w:p>
        </w:tc>
        <w:tc>
          <w:tcPr>
            <w:tcW w:type="dxa" w:w="1500"/>
            <w:tcMar>
              <w:top w:type="dxa" w:w="60"/>
              <w:left w:type="dxa" w:w="100"/>
              <w:bottom w:type="dxa" w:w="60"/>
              <w:right w:type="dxa" w:w="100"/>
            </w:tcMar>
          </w:tcPr>
          <w:p>
            <w:r>
              <w:rPr>
                <w:b w:val="false"/>
                <w:bCs w:val="false"/>
                <w:i w:val="false"/>
                <w:iCs w:val="false"/>
                <w:sz w:val="19"/>
                <w:szCs w:val="19"/>
              </w:rPr>
              <w:t xml:space="preserve">partiellement</w:t>
            </w:r>
          </w:p>
        </w:tc>
        <w:tc>
          <w:tcPr>
            <w:tcW w:type="dxa" w:w="3926"/>
            <w:tcMar>
              <w:top w:type="dxa" w:w="60"/>
              <w:left w:type="dxa" w:w="100"/>
              <w:bottom w:type="dxa" w:w="60"/>
              <w:right w:type="dxa" w:w="100"/>
            </w:tcMar>
          </w:tcPr>
          <w:p>
            <w:r>
              <w:rPr>
                <w:b w:val="false"/>
                <w:bCs w:val="false"/>
                <w:i w:val="false"/>
                <w:iCs w:val="false"/>
                <w:sz w:val="19"/>
                <w:szCs w:val="19"/>
              </w:rPr>
              <w:t xml:space="preserve">Une affiche décollée sur la vaccination ; rien sur l'HTA ni le diabète.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artérielle renseignée sur la grande majorité des lignes : la tenue du registre est ici la plus soignée des trois centres ruraux observés.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cahier de référence distinct, 3 cas orientés sur le mois, avec mention du motif</w:t>
            </w:r>
          </w:p>
        </w:tc>
      </w:tr>
    </w:tbl>
    <w:p/>
    <w:p>
      <w:pPr>
        <w:pStyle w:val="Heading3"/>
        <w:spacing w:after="100" w:before="180"/>
      </w:pPr>
      <w:r>
        <w:t xml:space="preserve">E. Notes contextuelles libres</w:t>
      </w:r>
    </w:p>
    <w:p>
      <w:pPr>
        <w:rPr>
          <w:sz w:val="20"/>
          <w:szCs w:val="20"/>
        </w:rPr>
      </w:pPr>
      <w:r>
        <w:rPr>
          <w:sz w:val="20"/>
          <w:szCs w:val="20"/>
        </w:rPr>
        <w:t xml:space="preserve">Affluence modérée. La titulaire tient un cahier de référence de sa propre initiative, hors support officiel. Une femme arrivée à un terme avancé pour un premier contact est reçue en priorité. Un agent de santé communautaire passe déposer une liste de femmes enceintes de son village.</w:t>
      </w:r>
    </w:p>
    <w:p/>
    <w:p>
      <w:pPr>
        <w:pStyle w:val="Heading3"/>
        <w:spacing w:after="100" w:before="180"/>
      </w:pPr>
      <w:r>
        <w:t xml:space="preserve">F. Réflexivité</w:t>
      </w:r>
    </w:p>
    <w:p>
      <w:pPr>
        <w:rPr>
          <w:sz w:val="20"/>
          <w:szCs w:val="20"/>
        </w:rPr>
      </w:pPr>
      <w:r>
        <w:rPr>
          <w:sz w:val="20"/>
          <w:szCs w:val="20"/>
        </w:rPr>
        <w:t xml:space="preserve">La tenue du registre et le cahier de référence montrent qu'une pratique de traçabilité peut exister sans support fourni : elle repose ici sur une personne, ce qui la rend fragile. À rapprocher des propos de la titulaire sur les indicateurs demandés par la supervision. Le glucomètre en panne depuis une date indéterminée interroge le circuit de maintenance, que ni le guide d'entretien ni la grille n'avaient anticipé — élément à ajouter aux notes contextuelles.</w:t>
      </w:r>
    </w:p>
    <w:p>
      <w:r>
        <w:br w:type="page"/>
      </w:r>
    </w:p>
    <w:p/>
    <w:p>
      <w:pPr>
        <w:pStyle w:val="Heading2"/>
        <w:spacing w:after="120" w:before="220"/>
      </w:pPr>
      <w:r>
        <w:t xml:space="preserve">Centre CS15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CS15</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28/09/2026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08h20 – 11h45</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non — Salle unique dont la porte ne ferme plus ; l'attente est dans le couloir attenant.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50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manuel ancien, poire réparée au ruban adhésif</w:t>
            </w:r>
          </w:p>
        </w:tc>
        <w:tc>
          <w:tcPr>
            <w:tcW w:type="dxa" w:w="3026"/>
            <w:tcMar>
              <w:top w:type="dxa" w:w="60"/>
              <w:left w:type="dxa" w:w="100"/>
              <w:bottom w:type="dxa" w:w="60"/>
              <w:right w:type="dxa" w:w="100"/>
            </w:tcMar>
          </w:tcPr>
          <w:p>
            <w:r>
              <w:rPr>
                <w:b w:val="false"/>
                <w:bCs w:val="false"/>
                <w:i w:val="false"/>
                <w:iCs w:val="false"/>
                <w:sz w:val="19"/>
                <w:szCs w:val="19"/>
              </w:rPr>
              <w:t xml:space="preserve">Fonctionne, mais la lecture demande plusieurs tentatives.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 à étalonner</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10</w:t>
            </w:r>
          </w:p>
        </w:tc>
        <w:tc>
          <w:tcPr>
            <w:tcW w:type="dxa" w:w="2400"/>
            <w:tcMar>
              <w:top w:type="dxa" w:w="60"/>
              <w:left w:type="dxa" w:w="100"/>
              <w:bottom w:type="dxa" w:w="60"/>
              <w:right w:type="dxa" w:w="100"/>
            </w:tcMar>
          </w:tcPr>
          <w:p>
            <w:r>
              <w:rPr>
                <w:b w:val="false"/>
                <w:bCs w:val="false"/>
                <w:i w:val="false"/>
                <w:iCs w:val="false"/>
                <w:sz w:val="19"/>
                <w:szCs w:val="19"/>
              </w:rPr>
              <w:t xml:space="preserve">péremption 12/2026</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 eau au bidon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bandelettes urinaires intermittentes</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Colonne tension renseignée sur environ deux lignes sur trois.</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bl>
    <w:p/>
    <w:p>
      <w:pPr>
        <w:pStyle w:val="Heading3"/>
        <w:spacing w:after="100" w:before="180"/>
      </w:pPr>
      <w:r>
        <w:t xml:space="preserve">E. Notes contextuelles libres</w:t>
      </w:r>
    </w:p>
    <w:p>
      <w:pPr>
        <w:rPr>
          <w:sz w:val="20"/>
          <w:szCs w:val="20"/>
        </w:rPr>
      </w:pPr>
      <w:r>
        <w:rPr>
          <w:sz w:val="20"/>
          <w:szCs w:val="20"/>
        </w:rPr>
        <w:t xml:space="preserve">Équipement le plus vétuste de la série après CS11. Le tensiomètre réparé fonctionne mais allonge chaque mesure. Ambiance calme, rapports cordiaux.</w:t>
      </w:r>
    </w:p>
    <w:p/>
    <w:p>
      <w:pPr>
        <w:pStyle w:val="Heading3"/>
        <w:spacing w:after="100" w:before="180"/>
      </w:pPr>
      <w:r>
        <w:t xml:space="preserve">F. Réflexivité</w:t>
      </w:r>
    </w:p>
    <w:p>
      <w:pPr>
        <w:rPr>
          <w:sz w:val="20"/>
          <w:szCs w:val="20"/>
        </w:rPr>
      </w:pPr>
      <w:r>
        <w:rPr>
          <w:sz w:val="20"/>
          <w:szCs w:val="20"/>
        </w:rPr>
        <w:t xml:space="preserve">La porte qui ne ferme pas résume l'absence d'espace confidentiel mieux que toute catégorie de la grille. Rien de marquant entre propos et constats ; le participant décrit lui-même l'appareil réparé.</w:t>
      </w:r>
    </w:p>
    <w:p>
      <w:r>
        <w:br w:type="page"/>
      </w:r>
    </w:p>
    <w:p/>
    <w:p>
      <w:pPr>
        <w:pStyle w:val="Heading2"/>
        <w:spacing w:after="120" w:before="220"/>
      </w:pPr>
      <w:r>
        <w:t xml:space="preserve">Centre CS16 — secteur rural périphérique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800"/>
        <w:gridCol w:w="1400"/>
        <w:gridCol w:w="900"/>
        <w:gridCol w:w="3126"/>
      </w:tblGrid>
      <w:tr>
        <w:trPr>
          <w:tblHeader w:val="off"/>
        </w:trPr>
        <w:tc>
          <w:tcPr>
            <w:tcW w:type="dxa" w:w="1700"/>
            <w:tcMar>
              <w:top w:type="dxa" w:w="60"/>
              <w:left w:type="dxa" w:w="100"/>
              <w:bottom w:type="dxa" w:w="60"/>
              <w:right w:type="dxa" w:w="100"/>
            </w:tcMar>
          </w:tcPr>
          <w:p>
            <w:r>
              <w:rPr>
                <w:b w:val="false"/>
                <w:bCs w:val="false"/>
                <w:i w:val="false"/>
                <w:iCs w:val="false"/>
                <w:sz w:val="19"/>
                <w:szCs w:val="19"/>
              </w:rPr>
              <w:t xml:space="preserve">Code de structure</w:t>
            </w:r>
          </w:p>
        </w:tc>
        <w:tc>
          <w:tcPr>
            <w:tcW w:type="dxa" w:w="1100"/>
            <w:tcMar>
              <w:top w:type="dxa" w:w="60"/>
              <w:left w:type="dxa" w:w="100"/>
              <w:bottom w:type="dxa" w:w="60"/>
              <w:right w:type="dxa" w:w="100"/>
            </w:tcMar>
          </w:tcPr>
          <w:p>
            <w:r>
              <w:rPr>
                <w:b w:val="false"/>
                <w:bCs w:val="false"/>
                <w:i w:val="false"/>
                <w:iCs w:val="false"/>
                <w:sz w:val="19"/>
                <w:szCs w:val="19"/>
              </w:rPr>
              <w:t xml:space="preserve">CS16</w:t>
            </w:r>
          </w:p>
        </w:tc>
        <w:tc>
          <w:tcPr>
            <w:tcW w:type="dxa" w:w="800"/>
            <w:tcMar>
              <w:top w:type="dxa" w:w="60"/>
              <w:left w:type="dxa" w:w="100"/>
              <w:bottom w:type="dxa" w:w="60"/>
              <w:right w:type="dxa" w:w="100"/>
            </w:tcMar>
          </w:tcPr>
          <w:p>
            <w:r>
              <w:rPr>
                <w:b w:val="false"/>
                <w:bCs w:val="false"/>
                <w:i w:val="false"/>
                <w:iCs w:val="false"/>
                <w:sz w:val="19"/>
                <w:szCs w:val="19"/>
              </w:rPr>
              <w:t xml:space="preserve">Date</w:t>
            </w:r>
          </w:p>
        </w:tc>
        <w:tc>
          <w:tcPr>
            <w:tcW w:type="dxa" w:w="1400"/>
            <w:tcMar>
              <w:top w:type="dxa" w:w="60"/>
              <w:left w:type="dxa" w:w="100"/>
              <w:bottom w:type="dxa" w:w="60"/>
              <w:right w:type="dxa" w:w="100"/>
            </w:tcMar>
          </w:tcPr>
          <w:p>
            <w:r>
              <w:rPr>
                <w:b w:val="false"/>
                <w:bCs w:val="false"/>
                <w:i w:val="false"/>
                <w:iCs w:val="false"/>
                <w:sz w:val="19"/>
                <w:szCs w:val="19"/>
              </w:rPr>
              <w:t xml:space="preserve">29/09/2026</w:t>
            </w:r>
          </w:p>
        </w:tc>
        <w:tc>
          <w:tcPr>
            <w:tcW w:type="dxa" w:w="900"/>
            <w:tcMar>
              <w:top w:type="dxa" w:w="60"/>
              <w:left w:type="dxa" w:w="100"/>
              <w:bottom w:type="dxa" w:w="60"/>
              <w:right w:type="dxa" w:w="100"/>
            </w:tcMar>
          </w:tcPr>
          <w:p>
            <w:r>
              <w:rPr>
                <w:b w:val="false"/>
                <w:bCs w:val="false"/>
                <w:i w:val="false"/>
                <w:iCs w:val="false"/>
                <w:sz w:val="19"/>
                <w:szCs w:val="19"/>
              </w:rPr>
              <w:t xml:space="preserve">Heures</w:t>
            </w:r>
          </w:p>
        </w:tc>
        <w:tc>
          <w:tcPr>
            <w:tcW w:type="dxa" w:w="3126"/>
            <w:tcMar>
              <w:top w:type="dxa" w:w="60"/>
              <w:left w:type="dxa" w:w="100"/>
              <w:bottom w:type="dxa" w:w="60"/>
              <w:right w:type="dxa" w:w="100"/>
            </w:tcMar>
          </w:tcPr>
          <w:p>
            <w:r>
              <w:rPr>
                <w:b w:val="false"/>
                <w:bCs w:val="false"/>
                <w:i w:val="false"/>
                <w:iCs w:val="false"/>
                <w:sz w:val="19"/>
                <w:szCs w:val="19"/>
              </w:rPr>
              <w:t xml:space="preserve">08h30 – 12h00</w:t>
            </w:r>
          </w:p>
        </w:tc>
      </w:tr>
    </w:tbl>
    <w:p/>
    <w:p>
      <w:pPr>
        <w:pStyle w:val="Heading3"/>
        <w:spacing w:after="100" w:before="180"/>
      </w:pPr>
      <w:r>
        <w:t xml:space="preserve">A. Espace et flux</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Salles affectées à la CPN</w:t>
            </w:r>
          </w:p>
        </w:tc>
        <w:tc>
          <w:tcPr>
            <w:tcW w:type="dxa" w:w="5626"/>
            <w:tcMar>
              <w:top w:type="dxa" w:w="60"/>
              <w:left w:type="dxa" w:w="100"/>
              <w:bottom w:type="dxa" w:w="60"/>
              <w:right w:type="dxa" w:w="100"/>
            </w:tcMar>
          </w:tcPr>
          <w:p>
            <w:r>
              <w:rPr>
                <w:b w:val="false"/>
                <w:bCs w:val="false"/>
                <w:i w:val="false"/>
                <w:iCs w:val="false"/>
                <w:sz w:val="19"/>
                <w:szCs w:val="19"/>
              </w:rPr>
              <w:t xml:space="preserve">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Espace permettant un échange non entendu</w:t>
            </w:r>
          </w:p>
        </w:tc>
        <w:tc>
          <w:tcPr>
            <w:tcW w:type="dxa" w:w="5626"/>
            <w:tcMar>
              <w:top w:type="dxa" w:w="60"/>
              <w:left w:type="dxa" w:w="100"/>
              <w:bottom w:type="dxa" w:w="60"/>
              <w:right w:type="dxa" w:w="100"/>
            </w:tcMar>
          </w:tcPr>
          <w:p>
            <w:r>
              <w:rPr>
                <w:b w:val="false"/>
                <w:bCs w:val="false"/>
                <w:i w:val="false"/>
                <w:iCs w:val="false"/>
                <w:sz w:val="19"/>
                <w:szCs w:val="19"/>
              </w:rPr>
              <w:t xml:space="preserve">oui — Salle fermée ; électricité fournie par un panneau solaire, éclairage limité par temps couvert.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Femmes reçues durant la période</w:t>
            </w:r>
          </w:p>
        </w:tc>
        <w:tc>
          <w:tcPr>
            <w:tcW w:type="dxa" w:w="5626"/>
            <w:tcMar>
              <w:top w:type="dxa" w:w="60"/>
              <w:left w:type="dxa" w:w="100"/>
              <w:bottom w:type="dxa" w:w="60"/>
              <w:right w:type="dxa" w:w="100"/>
            </w:tcMar>
          </w:tcPr>
          <w:p>
            <w:r>
              <w:rPr>
                <w:b w:val="false"/>
                <w:bCs w:val="false"/>
                <w:i w:val="false"/>
                <w:iCs w:val="false"/>
                <w:sz w:val="19"/>
                <w:szCs w:val="19"/>
              </w:rPr>
              <w:t xml:space="preserve">21</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Professionnels assurant la consultation</w:t>
            </w:r>
          </w:p>
        </w:tc>
        <w:tc>
          <w:tcPr>
            <w:tcW w:type="dxa" w:w="56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Poste distinct pour la prise des constantes</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Durée moyenne entre entrée et sortie</w:t>
            </w:r>
          </w:p>
        </w:tc>
        <w:tc>
          <w:tcPr>
            <w:tcW w:type="dxa" w:w="5626"/>
            <w:tcMar>
              <w:top w:type="dxa" w:w="60"/>
              <w:left w:type="dxa" w:w="100"/>
              <w:bottom w:type="dxa" w:w="60"/>
              <w:right w:type="dxa" w:w="100"/>
            </w:tcMar>
          </w:tcPr>
          <w:p>
            <w:r>
              <w:rPr>
                <w:b w:val="false"/>
                <w:bCs w:val="false"/>
                <w:i w:val="false"/>
                <w:iCs w:val="false"/>
                <w:sz w:val="19"/>
                <w:szCs w:val="19"/>
              </w:rPr>
              <w:t xml:space="preserve">environ 1 h 40</w:t>
            </w:r>
          </w:p>
        </w:tc>
      </w:tr>
    </w:tbl>
    <w:p/>
    <w:p>
      <w:pPr>
        <w:pStyle w:val="Heading3"/>
        <w:spacing w:after="100" w:before="180"/>
      </w:pPr>
      <w:r>
        <w:t xml:space="preserve">B. Équipements et consommables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900"/>
        <w:gridCol w:w="800"/>
        <w:gridCol w:w="2400"/>
        <w:gridCol w:w="3026"/>
      </w:tblGrid>
      <w:tr>
        <w:trPr>
          <w:tblHeader/>
        </w:trPr>
        <w:tc>
          <w:tcPr>
            <w:tcW w:type="dxa" w:w="19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800"/>
            <w:shd w:fill="E8EDF2" w:color="auto" w:val="clear"/>
            <w:tcMar>
              <w:top w:type="dxa" w:w="60"/>
              <w:left w:type="dxa" w:w="100"/>
              <w:bottom w:type="dxa" w:w="60"/>
              <w:right w:type="dxa" w:w="100"/>
            </w:tcMar>
          </w:tcPr>
          <w:p>
            <w:r>
              <w:rPr>
                <w:b/>
                <w:bCs/>
                <w:i w:val="false"/>
                <w:iCs w:val="false"/>
                <w:sz w:val="19"/>
                <w:szCs w:val="19"/>
              </w:rPr>
              <w:t xml:space="preserve">Nombre</w:t>
            </w:r>
          </w:p>
        </w:tc>
        <w:tc>
          <w:tcPr>
            <w:tcW w:type="dxa" w:w="2400"/>
            <w:shd w:fill="E8EDF2" w:color="auto" w:val="clear"/>
            <w:tcMar>
              <w:top w:type="dxa" w:w="60"/>
              <w:left w:type="dxa" w:w="100"/>
              <w:bottom w:type="dxa" w:w="60"/>
              <w:right w:type="dxa" w:w="100"/>
            </w:tcMar>
          </w:tcPr>
          <w:p>
            <w:r>
              <w:rPr>
                <w:b/>
                <w:bCs/>
                <w:i w:val="false"/>
                <w:iCs w:val="false"/>
                <w:sz w:val="19"/>
                <w:szCs w:val="19"/>
              </w:rPr>
              <w:t xml:space="preserve">État de fonctionnement</w:t>
            </w:r>
          </w:p>
        </w:tc>
        <w:tc>
          <w:tcPr>
            <w:tcW w:type="dxa" w:w="30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Tensiomètre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électronique sur piles, fonctionnel ce jour-là</w:t>
            </w:r>
          </w:p>
        </w:tc>
        <w:tc>
          <w:tcPr>
            <w:tcW w:type="dxa" w:w="3026"/>
            <w:tcMar>
              <w:top w:type="dxa" w:w="60"/>
              <w:left w:type="dxa" w:w="100"/>
              <w:bottom w:type="dxa" w:w="60"/>
              <w:right w:type="dxa" w:w="100"/>
            </w:tcMar>
          </w:tcPr>
          <w:p>
            <w:r>
              <w:rPr>
                <w:b w:val="false"/>
                <w:bCs w:val="false"/>
                <w:i w:val="false"/>
                <w:iCs w:val="false"/>
                <w:sz w:val="19"/>
                <w:szCs w:val="19"/>
              </w:rPr>
              <w:t xml:space="preserve">L'équipe indique que les piles manquent régulièrement et qu'elle en achète parfois elle-même.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Glucomètre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de glycémie</w:t>
            </w:r>
          </w:p>
        </w:tc>
        <w:tc>
          <w:tcPr>
            <w:tcW w:type="dxa" w:w="900"/>
            <w:tcMar>
              <w:top w:type="dxa" w:w="60"/>
              <w:left w:type="dxa" w:w="100"/>
              <w:bottom w:type="dxa" w:w="60"/>
              <w:right w:type="dxa" w:w="100"/>
            </w:tcMar>
          </w:tcPr>
          <w:p>
            <w:r>
              <w:rPr>
                <w:b w:val="false"/>
                <w:bCs w:val="false"/>
                <w:i w:val="false"/>
                <w:iCs w:val="false"/>
                <w:sz w:val="19"/>
                <w:szCs w:val="19"/>
              </w:rPr>
              <w:t xml:space="preserve">non</w:t>
            </w:r>
          </w:p>
        </w:tc>
        <w:tc>
          <w:tcPr>
            <w:tcW w:type="dxa" w:w="800"/>
            <w:tcMar>
              <w:top w:type="dxa" w:w="60"/>
              <w:left w:type="dxa" w:w="100"/>
              <w:bottom w:type="dxa" w:w="60"/>
              <w:right w:type="dxa" w:w="100"/>
            </w:tcMar>
          </w:tcPr>
          <w:p>
            <w:r>
              <w:rPr>
                <w:b w:val="false"/>
                <w:bCs w:val="false"/>
                <w:i w:val="false"/>
                <w:iCs w:val="false"/>
                <w:sz w:val="19"/>
                <w:szCs w:val="19"/>
              </w:rPr>
              <w:t xml:space="preserve">0</w:t>
            </w:r>
          </w:p>
        </w:tc>
        <w:tc>
          <w:tcPr>
            <w:tcW w:type="dxa" w:w="2400"/>
            <w:tcMar>
              <w:top w:type="dxa" w:w="60"/>
              <w:left w:type="dxa" w:w="100"/>
              <w:bottom w:type="dxa" w:w="60"/>
              <w:right w:type="dxa" w:w="100"/>
            </w:tcMar>
          </w:tcPr>
          <w:p>
            <w:r>
              <w:rPr>
                <w:b w:val="false"/>
                <w:bCs w:val="false"/>
                <w:i w:val="false"/>
                <w:iCs w:val="false"/>
                <w:sz w:val="19"/>
                <w:szCs w:val="19"/>
              </w:rPr>
              <w:t xml:space="preserv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Balance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mécanique</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Toise / mètre ruban</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w:t>
            </w:r>
          </w:p>
        </w:tc>
        <w:tc>
          <w:tcPr>
            <w:tcW w:type="dxa" w:w="2400"/>
            <w:tcMar>
              <w:top w:type="dxa" w:w="60"/>
              <w:left w:type="dxa" w:w="100"/>
              <w:bottom w:type="dxa" w:w="60"/>
              <w:right w:type="dxa" w:w="100"/>
            </w:tcMar>
          </w:tcPr>
          <w:p>
            <w:r>
              <w:rPr>
                <w:b w:val="false"/>
                <w:bCs w:val="false"/>
                <w:i w:val="false"/>
                <w:iCs w:val="false"/>
                <w:sz w:val="19"/>
                <w:szCs w:val="19"/>
              </w:rPr>
              <w:t xml:space="preserve">mètre ruban</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Bandelettes urinaires</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12</w:t>
            </w:r>
          </w:p>
        </w:tc>
        <w:tc>
          <w:tcPr>
            <w:tcW w:type="dxa" w:w="2400"/>
            <w:tcMar>
              <w:top w:type="dxa" w:w="60"/>
              <w:left w:type="dxa" w:w="100"/>
              <w:bottom w:type="dxa" w:w="60"/>
              <w:right w:type="dxa" w:w="100"/>
            </w:tcMar>
          </w:tcPr>
          <w:p>
            <w:r>
              <w:rPr>
                <w:b w:val="false"/>
                <w:bCs w:val="false"/>
                <w:i w:val="false"/>
                <w:iCs w:val="false"/>
                <w:sz w:val="19"/>
                <w:szCs w:val="19"/>
              </w:rPr>
              <w:t xml:space="preserve">péremption 01/2027</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Consommables d'hygiène</w:t>
            </w:r>
          </w:p>
        </w:tc>
        <w:tc>
          <w:tcPr>
            <w:tcW w:type="dxa" w:w="900"/>
            <w:tcMar>
              <w:top w:type="dxa" w:w="60"/>
              <w:left w:type="dxa" w:w="100"/>
              <w:bottom w:type="dxa" w:w="60"/>
              <w:right w:type="dxa" w:w="100"/>
            </w:tcMar>
          </w:tcPr>
          <w:p>
            <w:r>
              <w:rPr>
                <w:b w:val="false"/>
                <w:bCs w:val="false"/>
                <w:i w:val="false"/>
                <w:iCs w:val="false"/>
                <w:sz w:val="19"/>
                <w:szCs w:val="19"/>
              </w:rPr>
              <w:t xml:space="preserve">oui</w:t>
            </w:r>
          </w:p>
        </w:tc>
        <w:tc>
          <w:tcPr>
            <w:tcW w:type="dxa" w:w="800"/>
            <w:tcMar>
              <w:top w:type="dxa" w:w="60"/>
              <w:left w:type="dxa" w:w="100"/>
              <w:bottom w:type="dxa" w:w="60"/>
              <w:right w:type="dxa" w:w="100"/>
            </w:tcMar>
          </w:tcPr>
          <w:p>
            <w:r>
              <w:rPr>
                <w:b w:val="false"/>
                <w:bCs w:val="false"/>
                <w:i w:val="false"/>
                <w:iCs w:val="false"/>
                <w:sz w:val="19"/>
                <w:szCs w:val="19"/>
              </w:rPr>
              <w:t xml:space="preserve">—</w:t>
            </w:r>
          </w:p>
        </w:tc>
        <w:tc>
          <w:tcPr>
            <w:tcW w:type="dxa" w:w="2400"/>
            <w:tcMar>
              <w:top w:type="dxa" w:w="60"/>
              <w:left w:type="dxa" w:w="100"/>
              <w:bottom w:type="dxa" w:w="60"/>
              <w:right w:type="dxa" w:w="100"/>
            </w:tcMar>
          </w:tcPr>
          <w:p>
            <w:r>
              <w:rPr>
                <w:b w:val="false"/>
                <w:bCs w:val="false"/>
                <w:i w:val="false"/>
                <w:iCs w:val="false"/>
                <w:sz w:val="19"/>
                <w:szCs w:val="19"/>
              </w:rPr>
              <w:t xml:space="preserve">savon présent</w:t>
            </w:r>
          </w:p>
        </w:tc>
        <w:tc>
          <w:tcPr>
            <w:tcW w:type="dxa" w:w="30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1900"/>
            <w:tcMar>
              <w:top w:type="dxa" w:w="60"/>
              <w:left w:type="dxa" w:w="100"/>
              <w:bottom w:type="dxa" w:w="60"/>
              <w:right w:type="dxa" w:w="100"/>
            </w:tcMar>
          </w:tcPr>
          <w:p>
            <w:r>
              <w:rPr>
                <w:b w:val="false"/>
                <w:bCs w:val="false"/>
                <w:i w:val="false"/>
                <w:iCs w:val="false"/>
                <w:sz w:val="19"/>
                <w:szCs w:val="19"/>
              </w:rPr>
              <w:t xml:space="preserve">Rupture de stock signalée au cours des trois derniers mois</w:t>
            </w:r>
          </w:p>
        </w:tc>
        <w:tc>
          <w:tcPr>
            <w:tcW w:type="dxa" w:w="900"/>
            <w:tcMar>
              <w:top w:type="dxa" w:w="60"/>
              <w:left w:type="dxa" w:w="100"/>
              <w:bottom w:type="dxa" w:w="60"/>
              <w:right w:type="dxa" w:w="100"/>
            </w:tcMar>
          </w:tcPr>
          <w:p>
            <w:r>
              <w:rPr>
                <w:b w:val="false"/>
                <w:bCs w:val="false"/>
                <w:i w:val="false"/>
                <w:iCs w:val="false"/>
                <w:sz w:val="19"/>
                <w:szCs w:val="19"/>
              </w:rPr>
              <w:t xml:space="preserve"/>
            </w:r>
          </w:p>
        </w:tc>
        <w:tc>
          <w:tcPr>
            <w:tcW w:type="dxa" w:w="800"/>
            <w:tcMar>
              <w:top w:type="dxa" w:w="60"/>
              <w:left w:type="dxa" w:w="100"/>
              <w:bottom w:type="dxa" w:w="60"/>
              <w:right w:type="dxa" w:w="100"/>
            </w:tcMar>
          </w:tcPr>
          <w:p>
            <w:r>
              <w:rPr>
                <w:b w:val="false"/>
                <w:bCs w:val="false"/>
                <w:i w:val="false"/>
                <w:iCs w:val="false"/>
                <w:sz w:val="19"/>
                <w:szCs w:val="19"/>
              </w:rPr>
              <w:t xml:space="preserve"/>
            </w:r>
          </w:p>
        </w:tc>
        <w:tc>
          <w:tcPr>
            <w:tcW w:type="dxa" w:w="2400"/>
            <w:tcMar>
              <w:top w:type="dxa" w:w="60"/>
              <w:left w:type="dxa" w:w="100"/>
              <w:bottom w:type="dxa" w:w="60"/>
              <w:right w:type="dxa" w:w="100"/>
            </w:tcMar>
          </w:tcPr>
          <w:p>
            <w:r>
              <w:rPr>
                <w:b w:val="false"/>
                <w:bCs w:val="false"/>
                <w:i w:val="false"/>
                <w:iCs w:val="false"/>
                <w:sz w:val="19"/>
                <w:szCs w:val="19"/>
              </w:rPr>
              <w:t xml:space="preserve"/>
            </w:r>
          </w:p>
        </w:tc>
        <w:tc>
          <w:tcPr>
            <w:tcW w:type="dxa" w:w="3026"/>
            <w:tcMar>
              <w:top w:type="dxa" w:w="60"/>
              <w:left w:type="dxa" w:w="100"/>
              <w:bottom w:type="dxa" w:w="60"/>
              <w:right w:type="dxa" w:w="100"/>
            </w:tcMar>
          </w:tcPr>
          <w:p>
            <w:r>
              <w:rPr>
                <w:b w:val="false"/>
                <w:bCs w:val="false"/>
                <w:i w:val="false"/>
                <w:iCs w:val="false"/>
                <w:sz w:val="19"/>
                <w:szCs w:val="19"/>
              </w:rPr>
              <w:t xml:space="preserve">oui — piles du tensiomètre, de façon répétée</w:t>
            </w:r>
          </w:p>
        </w:tc>
      </w:tr>
    </w:tbl>
    <w:p/>
    <w:p>
      <w:pPr>
        <w:pStyle w:val="Heading3"/>
        <w:spacing w:after="100" w:before="180"/>
      </w:pPr>
      <w:r>
        <w:t xml:space="preserve">C. Protocoles et supports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1500"/>
        <w:gridCol w:w="3926"/>
      </w:tblGrid>
      <w:tr>
        <w:trPr>
          <w:tblHeader/>
        </w:trPr>
        <w:tc>
          <w:tcPr>
            <w:tcW w:type="dxa" w:w="2600"/>
            <w:shd w:fill="E8EDF2" w:color="auto" w:val="clear"/>
            <w:tcMar>
              <w:top w:type="dxa" w:w="60"/>
              <w:left w:type="dxa" w:w="100"/>
              <w:bottom w:type="dxa" w:w="60"/>
              <w:right w:type="dxa" w:w="100"/>
            </w:tcMar>
          </w:tcPr>
          <w:p>
            <w:r>
              <w:rPr>
                <w:b/>
                <w:bCs/>
                <w:i w:val="false"/>
                <w:iCs w:val="false"/>
                <w:sz w:val="19"/>
                <w:szCs w:val="19"/>
              </w:rPr>
              <w:t xml:space="preserve">Élément</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Présent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Accessible au poste</w:t>
            </w:r>
          </w:p>
        </w:tc>
        <w:tc>
          <w:tcPr>
            <w:tcW w:type="dxa" w:w="3926"/>
            <w:shd w:fill="E8EDF2" w:color="auto" w:val="clear"/>
            <w:tcMar>
              <w:top w:type="dxa" w:w="60"/>
              <w:left w:type="dxa" w:w="100"/>
              <w:bottom w:type="dxa" w:w="60"/>
              <w:right w:type="dxa" w:w="100"/>
            </w:tcMar>
          </w:tcPr>
          <w:p>
            <w:r>
              <w:rPr>
                <w:b/>
                <w:bCs/>
                <w:i w:val="false"/>
                <w:iCs w:val="false"/>
                <w:sz w:val="19"/>
                <w:szCs w:val="19"/>
              </w:rPr>
              <w:t xml:space="preserve">Observations</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 algorithme HTA</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Protocole diabète en grossesse</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Fiche ou circuit de référence formalisé</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Supports d'information destinés aux femmes</w:t>
            </w:r>
          </w:p>
        </w:tc>
        <w:tc>
          <w:tcPr>
            <w:tcW w:type="dxa" w:w="1000"/>
            <w:tcMar>
              <w:top w:type="dxa" w:w="60"/>
              <w:left w:type="dxa" w:w="100"/>
              <w:bottom w:type="dxa" w:w="60"/>
              <w:right w:type="dxa" w:w="100"/>
            </w:tcMar>
          </w:tcPr>
          <w:p>
            <w:r>
              <w:rPr>
                <w:b w:val="false"/>
                <w:bCs w:val="false"/>
                <w:i w:val="false"/>
                <w:iCs w:val="false"/>
                <w:sz w:val="19"/>
                <w:szCs w:val="19"/>
              </w:rPr>
              <w:t xml:space="preserve">non</w:t>
            </w:r>
          </w:p>
        </w:tc>
        <w:tc>
          <w:tcPr>
            <w:tcW w:type="dxa" w:w="1500"/>
            <w:tcMar>
              <w:top w:type="dxa" w:w="60"/>
              <w:left w:type="dxa" w:w="100"/>
              <w:bottom w:type="dxa" w:w="60"/>
              <w:right w:type="dxa" w:w="100"/>
            </w:tcMar>
          </w:tcPr>
          <w:p>
            <w:r>
              <w:rPr>
                <w:b w:val="false"/>
                <w:bCs w:val="false"/>
                <w:i w:val="false"/>
                <w:iCs w:val="false"/>
                <w:sz w:val="19"/>
                <w:szCs w:val="19"/>
              </w:rPr>
              <w:t xml:space="preserve">—</w:t>
            </w:r>
          </w:p>
        </w:tc>
        <w:tc>
          <w:tcPr>
            <w:tcW w:type="dxa" w:w="3926"/>
            <w:tcMar>
              <w:top w:type="dxa" w:w="60"/>
              <w:left w:type="dxa" w:w="100"/>
              <w:bottom w:type="dxa" w:w="60"/>
              <w:right w:type="dxa" w:w="100"/>
            </w:tcMar>
          </w:tcPr>
          <w:p>
            <w:r>
              <w:rPr>
                <w:b w:val="false"/>
                <w:bCs w:val="false"/>
                <w:i w:val="false"/>
                <w:iCs w:val="false"/>
                <w:sz w:val="19"/>
                <w:szCs w:val="19"/>
              </w:rPr>
              <w:t xml:space="preserve">—</w:t>
            </w:r>
          </w:p>
        </w:tc>
      </w:tr>
      <w:tr>
        <w:trPr>
          <w:tblHeader w:val="off"/>
        </w:trPr>
        <w:tc>
          <w:tcPr>
            <w:tcW w:type="dxa" w:w="2600"/>
            <w:tcMar>
              <w:top w:type="dxa" w:w="60"/>
              <w:left w:type="dxa" w:w="100"/>
              <w:bottom w:type="dxa" w:w="60"/>
              <w:right w:type="dxa" w:w="100"/>
            </w:tcMar>
          </w:tcPr>
          <w:p>
            <w:r>
              <w:rPr>
                <w:b w:val="false"/>
                <w:bCs w:val="false"/>
                <w:i w:val="false"/>
                <w:iCs w:val="false"/>
                <w:sz w:val="19"/>
                <w:szCs w:val="19"/>
              </w:rPr>
              <w:t xml:space="preserve">Registre de consultation prénatale</w:t>
            </w:r>
          </w:p>
        </w:tc>
        <w:tc>
          <w:tcPr>
            <w:tcW w:type="dxa" w:w="100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3926"/>
            <w:tcMar>
              <w:top w:type="dxa" w:w="60"/>
              <w:left w:type="dxa" w:w="100"/>
              <w:bottom w:type="dxa" w:w="60"/>
              <w:right w:type="dxa" w:w="100"/>
            </w:tcMar>
          </w:tcPr>
          <w:p>
            <w:r>
              <w:rPr>
                <w:b w:val="false"/>
                <w:bCs w:val="false"/>
                <w:i w:val="false"/>
                <w:iCs w:val="false"/>
                <w:sz w:val="19"/>
                <w:szCs w:val="19"/>
              </w:rPr>
              <w:t xml:space="preserve">Complété par un CAHIER DE SUIVI APRÈS L'ACCOUCHEMENT, créé par la titulaire, où sont notées les femmes dépistées avec une tension élevée pendant la grossesse.</w:t>
            </w:r>
          </w:p>
        </w:tc>
      </w:tr>
    </w:tbl>
    <w:p/>
    <w:p>
      <w:pPr>
        <w:pStyle w:val="Heading3"/>
        <w:spacing w:after="100" w:before="180"/>
      </w:pPr>
      <w:r>
        <w:t xml:space="preserve">D. Enregistrement des données (supports agrégés uniquement)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tension artérielle</w:t>
            </w:r>
          </w:p>
        </w:tc>
        <w:tc>
          <w:tcPr>
            <w:tcW w:type="dxa" w:w="5626"/>
            <w:tcMar>
              <w:top w:type="dxa" w:w="60"/>
              <w:left w:type="dxa" w:w="100"/>
              <w:bottom w:type="dxa" w:w="60"/>
              <w:right w:type="dxa" w:w="100"/>
            </w:tcMar>
          </w:tcPr>
          <w:p>
            <w:r>
              <w:rPr>
                <w:b w:val="false"/>
                <w:bCs w:val="false"/>
                <w:i w:val="false"/>
                <w:iCs w:val="false"/>
                <w:sz w:val="19"/>
                <w:szCs w:val="19"/>
              </w:rPr>
              <w:t xml:space="preserve">oui</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Rubrique prévue pour la glycémie</w:t>
            </w:r>
          </w:p>
        </w:tc>
        <w:tc>
          <w:tcPr>
            <w:tcW w:type="dxa" w:w="5626"/>
            <w:tcMar>
              <w:top w:type="dxa" w:w="60"/>
              <w:left w:type="dxa" w:w="100"/>
              <w:bottom w:type="dxa" w:w="60"/>
              <w:right w:type="dxa" w:w="100"/>
            </w:tcMar>
          </w:tcPr>
          <w:p>
            <w:r>
              <w:rPr>
                <w:b w:val="false"/>
                <w:bCs w:val="false"/>
                <w:i w:val="false"/>
                <w:iCs w:val="false"/>
                <w:sz w:val="19"/>
                <w:szCs w:val="19"/>
              </w:rPr>
              <w:t xml:space="preserve">non</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Ces rubriques sont-elles renseignées régulièrement ?</w:t>
            </w:r>
          </w:p>
        </w:tc>
        <w:tc>
          <w:tcPr>
            <w:tcW w:type="dxa" w:w="5626"/>
            <w:tcMar>
              <w:top w:type="dxa" w:w="60"/>
              <w:left w:type="dxa" w:w="100"/>
              <w:bottom w:type="dxa" w:w="60"/>
              <w:right w:type="dxa" w:w="100"/>
            </w:tcMar>
          </w:tcPr>
          <w:p>
            <w:r>
              <w:rPr>
                <w:b w:val="false"/>
                <w:bCs w:val="false"/>
                <w:i w:val="false"/>
                <w:iCs w:val="false"/>
                <w:sz w:val="19"/>
                <w:szCs w:val="19"/>
              </w:rPr>
              <w:t xml:space="preserve">Tension renseignée régulièrement.</w:t>
            </w:r>
          </w:p>
        </w:tc>
      </w:tr>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Les cas orientés vers l'hôpital sont-ils tracés ?</w:t>
            </w:r>
          </w:p>
        </w:tc>
        <w:tc>
          <w:tcPr>
            <w:tcW w:type="dxa" w:w="5626"/>
            <w:tcMar>
              <w:top w:type="dxa" w:w="60"/>
              <w:left w:type="dxa" w:w="100"/>
              <w:bottom w:type="dxa" w:w="60"/>
              <w:right w:type="dxa" w:w="100"/>
            </w:tcMar>
          </w:tcPr>
          <w:p>
            <w:r>
              <w:rPr>
                <w:b w:val="false"/>
                <w:bCs w:val="false"/>
                <w:i w:val="false"/>
                <w:iCs w:val="false"/>
                <w:sz w:val="19"/>
                <w:szCs w:val="19"/>
              </w:rPr>
              <w:t xml:space="preserve">oui — et suivi après l'accouchement tracé dans le cahier dédié</w:t>
            </w:r>
          </w:p>
        </w:tc>
      </w:tr>
    </w:tbl>
    <w:p/>
    <w:p>
      <w:pPr>
        <w:pStyle w:val="Heading3"/>
        <w:spacing w:after="100" w:before="180"/>
      </w:pPr>
      <w:r>
        <w:t xml:space="preserve">E. Notes contextuelles libres</w:t>
      </w:r>
    </w:p>
    <w:p>
      <w:pPr>
        <w:rPr>
          <w:sz w:val="20"/>
          <w:szCs w:val="20"/>
        </w:rPr>
      </w:pPr>
      <w:r>
        <w:rPr>
          <w:sz w:val="20"/>
          <w:szCs w:val="20"/>
        </w:rPr>
        <w:t xml:space="preserve">Centre le plus éloigné du district. Un agent de santé communautaire vient signaler une femme enceinte qui n'est pas revenue ; la titulaire lui demande de lui rappeler son rendez-vous. Le cahier de suivi après l'accouchement compte une douzaine de noms — consulté par l'observateur sans relevé nominatif.</w:t>
      </w:r>
    </w:p>
    <w:p/>
    <w:p>
      <w:pPr>
        <w:pStyle w:val="Heading3"/>
        <w:spacing w:after="100" w:before="180"/>
      </w:pPr>
      <w:r>
        <w:t xml:space="preserve">F. Réflexivité</w:t>
      </w:r>
    </w:p>
    <w:p>
      <w:pPr>
        <w:rPr>
          <w:sz w:val="20"/>
          <w:szCs w:val="20"/>
        </w:rPr>
      </w:pPr>
      <w:r>
        <w:rPr>
          <w:sz w:val="20"/>
          <w:szCs w:val="20"/>
        </w:rPr>
        <w:t xml:space="preserve">Le cahier de suivi après l'accouchement répond exactement à la « discontinuité après l'accouchement » que plusieurs participants de la vague 1 avaient soulevée sans qu'aucun ne décrive de réponse. Il est l'œuvre d'une personne : fragile, non prévu par le système, et pourtant le seul dispositif de ce type observé dans le district.</w:t>
      </w:r>
    </w:p>
    <w:p>
      <w:r>
        <w:br w:type="page"/>
      </w:r>
    </w:p>
    <w:p>
      <w:pPr>
        <w:pStyle w:val="Heading1"/>
        <w:spacing w:after="160" w:before="280"/>
      </w:pPr>
      <w:r>
        <w:t xml:space="preserve">4. Annexe 3 — Fiches de données sociodémographiques et professionnelles</w:t>
      </w:r>
    </w:p>
    <w:p>
      <w:pPr>
        <w:rPr>
          <w:i/>
          <w:iCs/>
          <w:sz w:val="19"/>
          <w:szCs w:val="19"/>
        </w:rPr>
      </w:pPr>
      <w:r>
        <w:rPr>
          <w:i/>
          <w:iCs/>
          <w:sz w:val="19"/>
          <w:szCs w:val="19"/>
        </w:rPr>
        <w:t xml:space="preserve">Renseignée en début d'entretien. Aucun nom, aucune fonction nominative, aucun nom de structure. Le code de structure est conservé sur un document séparé sous la seule responsabilité du chercheur. Les tranches sont préférées aux valeurs exactes : dans des équipes réduites, une combinaison âge-qualification-ancienneté exacte permettrait d'identifier une personne.</w:t>
      </w:r>
    </w:p>
    <w:p/>
    <w:p>
      <w:pPr>
        <w:pStyle w:val="Heading3"/>
        <w:spacing w:after="100" w:before="180"/>
      </w:pPr>
      <w:r>
        <w:t xml:space="preserve">Fiche P01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P01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52 min</w:t>
            </w:r>
          </w:p>
        </w:tc>
      </w:tr>
    </w:tbl>
    <w:p/>
    <w:p>
      <w:pPr>
        <w:pStyle w:val="Heading3"/>
        <w:spacing w:after="100" w:before="180"/>
      </w:pPr>
      <w:r>
        <w:t xml:space="preserve">Fiche P02 — structure CS03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P02 / CS03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18/08/2026 — 58 min</w:t>
            </w:r>
          </w:p>
        </w:tc>
      </w:tr>
    </w:tbl>
    <w:p/>
    <w:p>
      <w:pPr>
        <w:pStyle w:val="Heading3"/>
        <w:spacing w:after="100" w:before="180"/>
      </w:pPr>
      <w:r>
        <w:t xml:space="preserve">Fiche P03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P03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41 min</w:t>
            </w:r>
          </w:p>
        </w:tc>
      </w:tr>
    </w:tbl>
    <w:p/>
    <w:p>
      <w:pPr>
        <w:pStyle w:val="Heading3"/>
        <w:spacing w:after="100" w:before="180"/>
      </w:pPr>
      <w:r>
        <w:t xml:space="preserve">Fiche P04 — structure CS07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P04 / CS07</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25/08/2026 — 47 min</w:t>
            </w:r>
          </w:p>
        </w:tc>
      </w:tr>
    </w:tbl>
    <w:p/>
    <w:p>
      <w:pPr>
        <w:pStyle w:val="Heading3"/>
        <w:spacing w:after="100" w:before="180"/>
      </w:pPr>
      <w:r>
        <w:t xml:space="preserve">Fiche P05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P05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44 min</w:t>
            </w:r>
          </w:p>
        </w:tc>
      </w:tr>
    </w:tbl>
    <w:p/>
    <w:p>
      <w:pPr>
        <w:pStyle w:val="Heading3"/>
        <w:spacing w:after="100" w:before="180"/>
      </w:pPr>
      <w:r>
        <w:t xml:space="preserve">Fiche P06 — structure CS11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P06 / CS11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01/09/2026 — 49 min</w:t>
            </w:r>
          </w:p>
        </w:tc>
      </w:tr>
    </w:tbl>
    <w:p/>
    <w:p>
      <w:pPr>
        <w:pStyle w:val="Heading3"/>
        <w:spacing w:after="100" w:before="180"/>
      </w:pPr>
      <w:r>
        <w:t xml:space="preserve">Fiche P07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P07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61 min</w:t>
            </w:r>
          </w:p>
        </w:tc>
      </w:tr>
    </w:tbl>
    <w:p/>
    <w:p>
      <w:pPr>
        <w:pStyle w:val="Heading3"/>
        <w:spacing w:after="100" w:before="180"/>
      </w:pPr>
      <w:r>
        <w:t xml:space="preserve">Fiche P08 — structure CS02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P08 / CS02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08/09/2026 — 38 min</w:t>
            </w:r>
          </w:p>
        </w:tc>
      </w:tr>
    </w:tbl>
    <w:p/>
    <w:p>
      <w:pPr>
        <w:pStyle w:val="Heading3"/>
        <w:spacing w:after="100" w:before="180"/>
      </w:pPr>
      <w:r>
        <w:t xml:space="preserve">Fiche P09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P09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55 min</w:t>
            </w:r>
          </w:p>
        </w:tc>
      </w:tr>
    </w:tbl>
    <w:p/>
    <w:p>
      <w:pPr>
        <w:pStyle w:val="Heading3"/>
        <w:spacing w:after="100" w:before="180"/>
      </w:pPr>
      <w:r>
        <w:t xml:space="preserve">Fiche P10 — structure CS14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P10 / CS14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15/09/2026 — 50 min</w:t>
            </w:r>
          </w:p>
        </w:tc>
      </w:tr>
    </w:tbl>
    <w:p/>
    <w:p>
      <w:pPr>
        <w:pStyle w:val="Heading3"/>
        <w:spacing w:after="100" w:before="180"/>
      </w:pPr>
      <w:r>
        <w:t xml:space="preserve">Fiche P11 — structure CS01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P11 / CS01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57 min</w:t>
            </w:r>
          </w:p>
        </w:tc>
      </w:tr>
    </w:tbl>
    <w:p/>
    <w:p>
      <w:pPr>
        <w:pStyle w:val="Heading3"/>
        <w:spacing w:after="100" w:before="180"/>
      </w:pPr>
      <w:r>
        <w:t xml:space="preserve">Fiche P12 — structure CS04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P12 / CS04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22/09/2026 — 46 min</w:t>
            </w:r>
          </w:p>
        </w:tc>
      </w:tr>
    </w:tbl>
    <w:p/>
    <w:p>
      <w:pPr>
        <w:pStyle w:val="Heading3"/>
        <w:spacing w:after="100" w:before="180"/>
      </w:pPr>
      <w:r>
        <w:t xml:space="preserve">Fiche P13 — structure CS05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P13 / CS05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2021</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53 min</w:t>
            </w:r>
          </w:p>
        </w:tc>
      </w:tr>
    </w:tbl>
    <w:p/>
    <w:p>
      <w:pPr>
        <w:pStyle w:val="Heading3"/>
        <w:spacing w:after="100" w:before="180"/>
      </w:pPr>
      <w:r>
        <w:t xml:space="preserve">Fiche P14 — structure CS06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P14 / CS06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23/09/2026 — 40 min</w:t>
            </w:r>
          </w:p>
        </w:tc>
      </w:tr>
    </w:tbl>
    <w:p/>
    <w:p>
      <w:pPr>
        <w:pStyle w:val="Heading3"/>
        <w:spacing w:after="100" w:before="180"/>
      </w:pPr>
      <w:r>
        <w:t xml:space="preserve">Fiche P15 — structure CS08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P15 / CS08</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49 min</w:t>
            </w:r>
          </w:p>
        </w:tc>
      </w:tr>
    </w:tbl>
    <w:p/>
    <w:p>
      <w:pPr>
        <w:pStyle w:val="Heading3"/>
        <w:spacing w:after="100" w:before="180"/>
      </w:pPr>
      <w:r>
        <w:t xml:space="preserve">Fiche P16 — structure CS09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P16 / CS09</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24/09/2026 — 43 min</w:t>
            </w:r>
          </w:p>
        </w:tc>
      </w:tr>
    </w:tbl>
    <w:p/>
    <w:p>
      <w:pPr>
        <w:pStyle w:val="Heading3"/>
        <w:spacing w:after="100" w:before="180"/>
      </w:pPr>
      <w:r>
        <w:t xml:space="preserve">Fiche P17 — structure CS10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P17 / CS10</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51 min</w:t>
            </w:r>
          </w:p>
        </w:tc>
      </w:tr>
    </w:tbl>
    <w:p/>
    <w:p>
      <w:pPr>
        <w:pStyle w:val="Heading3"/>
        <w:spacing w:after="100" w:before="180"/>
      </w:pPr>
      <w:r>
        <w:t xml:space="preserve">Fiche P18 — structure CS12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P18 / CS12</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25/09/2026 — 55 min</w:t>
            </w:r>
          </w:p>
        </w:tc>
      </w:tr>
    </w:tbl>
    <w:p/>
    <w:p>
      <w:pPr>
        <w:pStyle w:val="Heading3"/>
        <w:spacing w:after="100" w:before="180"/>
      </w:pPr>
      <w:r>
        <w:t xml:space="preserve">Fiche P19 — structure CS13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P19 / CS13</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2024</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28/09/2026 — 60 min</w:t>
            </w:r>
          </w:p>
        </w:tc>
      </w:tr>
    </w:tbl>
    <w:p/>
    <w:p>
      <w:pPr>
        <w:pStyle w:val="Heading3"/>
        <w:spacing w:after="100" w:before="180"/>
      </w:pPr>
      <w:r>
        <w:t xml:space="preserve">Fiche P20 — structure CS15</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P20 / CS15</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29/09/2026 — 45 min</w:t>
            </w:r>
          </w:p>
        </w:tc>
      </w:tr>
    </w:tbl>
    <w:p/>
    <w:p>
      <w:pPr>
        <w:pStyle w:val="Heading3"/>
        <w:spacing w:after="100" w:before="180"/>
      </w:pPr>
      <w:r>
        <w:t xml:space="preserve">Fiche P21 — structure CS16</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E8EDF2" w:color="auto" w:val="clear"/>
            <w:tcMar>
              <w:top w:type="dxa" w:w="60"/>
              <w:left w:type="dxa" w:w="100"/>
              <w:bottom w:type="dxa" w:w="60"/>
              <w:right w:type="dxa" w:w="100"/>
            </w:tcMar>
          </w:tcPr>
          <w:p>
            <w:r>
              <w:rPr>
                <w:b/>
                <w:bCs/>
                <w:i w:val="false"/>
                <w:iCs w:val="false"/>
                <w:sz w:val="19"/>
                <w:szCs w:val="19"/>
              </w:rPr>
              <w:t xml:space="preserve">Rubrique</w:t>
            </w:r>
          </w:p>
        </w:tc>
        <w:tc>
          <w:tcPr>
            <w:tcW w:type="dxa" w:w="6026"/>
            <w:shd w:fill="E8EDF2" w:color="auto" w:val="clear"/>
            <w:tcMar>
              <w:top w:type="dxa" w:w="60"/>
              <w:left w:type="dxa" w:w="100"/>
              <w:bottom w:type="dxa" w:w="60"/>
              <w:right w:type="dxa" w:w="100"/>
            </w:tcMar>
          </w:tcPr>
          <w:p>
            <w:r>
              <w:rPr>
                <w:b/>
                <w:bCs/>
                <w:i w:val="false"/>
                <w:iCs w:val="false"/>
                <w:sz w:val="19"/>
                <w:szCs w:val="19"/>
              </w:rPr>
              <w:t xml:space="preserve">Réponse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Code du participant / de structure</w:t>
            </w:r>
          </w:p>
        </w:tc>
        <w:tc>
          <w:tcPr>
            <w:tcW w:type="dxa" w:w="6026"/>
            <w:tcMar>
              <w:top w:type="dxa" w:w="60"/>
              <w:left w:type="dxa" w:w="100"/>
              <w:bottom w:type="dxa" w:w="60"/>
              <w:right w:type="dxa" w:w="100"/>
            </w:tcMar>
          </w:tcPr>
          <w:p>
            <w:r>
              <w:rPr>
                <w:b w:val="false"/>
                <w:bCs w:val="false"/>
                <w:i w:val="false"/>
                <w:iCs w:val="false"/>
                <w:sz w:val="19"/>
                <w:szCs w:val="19"/>
              </w:rPr>
              <w:t xml:space="preserve">P21 / CS16</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Sexe</w:t>
            </w:r>
          </w:p>
        </w:tc>
        <w:tc>
          <w:tcPr>
            <w:tcW w:type="dxa" w:w="6026"/>
            <w:tcMar>
              <w:top w:type="dxa" w:w="60"/>
              <w:left w:type="dxa" w:w="100"/>
              <w:bottom w:type="dxa" w:w="60"/>
              <w:right w:type="dxa" w:w="100"/>
            </w:tcMar>
          </w:tcPr>
          <w:p>
            <w:r>
              <w:rPr>
                <w:b w:val="false"/>
                <w:bCs w:val="false"/>
                <w:i w:val="false"/>
                <w:iCs w:val="false"/>
                <w:sz w:val="19"/>
                <w:szCs w:val="19"/>
              </w:rPr>
              <w:t xml:space="preserve">☒ féminin   ☐ masculin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Tranche d'âge</w:t>
            </w:r>
          </w:p>
        </w:tc>
        <w:tc>
          <w:tcPr>
            <w:tcW w:type="dxa" w:w="6026"/>
            <w:tcMar>
              <w:top w:type="dxa" w:w="60"/>
              <w:left w:type="dxa" w:w="100"/>
              <w:bottom w:type="dxa" w:w="60"/>
              <w:right w:type="dxa" w:w="100"/>
            </w:tcMar>
          </w:tcPr>
          <w:p>
            <w:r>
              <w:rPr>
                <w:b w:val="false"/>
                <w:bCs w:val="false"/>
                <w:i w:val="false"/>
                <w:iCs w:val="false"/>
                <w:sz w:val="19"/>
                <w:szCs w:val="19"/>
              </w:rPr>
              <w:t xml:space="preserve">☐ 20-29   ☒ 30-39   ☐ 40-49   ☐ 50 et plus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Qualification</w:t>
            </w:r>
          </w:p>
        </w:tc>
        <w:tc>
          <w:tcPr>
            <w:tcW w:type="dxa" w:w="6026"/>
            <w:tcMar>
              <w:top w:type="dxa" w:w="60"/>
              <w:left w:type="dxa" w:w="100"/>
              <w:bottom w:type="dxa" w:w="60"/>
              <w:right w:type="dxa" w:w="100"/>
            </w:tcMar>
          </w:tcPr>
          <w:p>
            <w:r>
              <w:rPr>
                <w:b w:val="false"/>
                <w:bCs w:val="false"/>
                <w:i w:val="false"/>
                <w:iCs w:val="false"/>
                <w:sz w:val="19"/>
                <w:szCs w:val="19"/>
              </w:rPr>
              <w:t xml:space="preserve">☐ infirmier   ☒ sage-femme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Niveau de formation</w:t>
            </w:r>
          </w:p>
        </w:tc>
        <w:tc>
          <w:tcPr>
            <w:tcW w:type="dxa" w:w="6026"/>
            <w:tcMar>
              <w:top w:type="dxa" w:w="60"/>
              <w:left w:type="dxa" w:w="100"/>
              <w:bottom w:type="dxa" w:w="60"/>
              <w:right w:type="dxa" w:w="100"/>
            </w:tcMar>
          </w:tcPr>
          <w:p>
            <w:r>
              <w:rPr>
                <w:b w:val="false"/>
                <w:bCs w:val="false"/>
                <w:i w:val="false"/>
                <w:iCs w:val="false"/>
                <w:sz w:val="19"/>
                <w:szCs w:val="19"/>
              </w:rPr>
              <w:t xml:space="preserve">☐ A2   ☒ A1   ☐ A0   ☐ autre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professionnelle totale</w:t>
            </w:r>
          </w:p>
        </w:tc>
        <w:tc>
          <w:tcPr>
            <w:tcW w:type="dxa" w:w="6026"/>
            <w:tcMar>
              <w:top w:type="dxa" w:w="60"/>
              <w:left w:type="dxa" w:w="100"/>
              <w:bottom w:type="dxa" w:w="60"/>
              <w:right w:type="dxa" w:w="100"/>
            </w:tcMar>
          </w:tcPr>
          <w:p>
            <w:r>
              <w:rPr>
                <w:b w:val="false"/>
                <w:bCs w:val="false"/>
                <w:i w:val="false"/>
                <w:iCs w:val="false"/>
                <w:sz w:val="19"/>
                <w:szCs w:val="19"/>
              </w:rPr>
              <w:t xml:space="preserve">☐ &lt; 5 ans   ☒ 5-10 ans   ☐ &gt; 10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Ancienneté en consultation prénatale</w:t>
            </w:r>
          </w:p>
        </w:tc>
        <w:tc>
          <w:tcPr>
            <w:tcW w:type="dxa" w:w="6026"/>
            <w:tcMar>
              <w:top w:type="dxa" w:w="60"/>
              <w:left w:type="dxa" w:w="100"/>
              <w:bottom w:type="dxa" w:w="60"/>
              <w:right w:type="dxa" w:w="100"/>
            </w:tcMar>
          </w:tcPr>
          <w:p>
            <w:r>
              <w:rPr>
                <w:b w:val="false"/>
                <w:bCs w:val="false"/>
                <w:i w:val="false"/>
                <w:iCs w:val="false"/>
                <w:sz w:val="19"/>
                <w:szCs w:val="19"/>
              </w:rPr>
              <w:t xml:space="preserve">☐ 6 mois-2 ans   ☒ &gt; 2 ans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Fonction de titulaire de centre</w:t>
            </w:r>
          </w:p>
        </w:tc>
        <w:tc>
          <w:tcPr>
            <w:tcW w:type="dxa" w:w="6026"/>
            <w:tcMar>
              <w:top w:type="dxa" w:w="60"/>
              <w:left w:type="dxa" w:w="100"/>
              <w:bottom w:type="dxa" w:w="60"/>
              <w:right w:type="dxa" w:w="100"/>
            </w:tcMar>
          </w:tcPr>
          <w:p>
            <w:r>
              <w:rPr>
                <w:b w:val="false"/>
                <w:bCs w:val="false"/>
                <w:i w:val="false"/>
                <w:iCs w:val="false"/>
                <w:sz w:val="19"/>
                <w:szCs w:val="19"/>
              </w:rPr>
              <w:t xml:space="preserve">☒ oui   ☐ non</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Formation reçue sur les MNT</w:t>
            </w:r>
          </w:p>
        </w:tc>
        <w:tc>
          <w:tcPr>
            <w:tcW w:type="dxa" w:w="6026"/>
            <w:tcMar>
              <w:top w:type="dxa" w:w="60"/>
              <w:left w:type="dxa" w:w="100"/>
              <w:bottom w:type="dxa" w:w="60"/>
              <w:right w:type="dxa" w:w="100"/>
            </w:tcMar>
          </w:tcPr>
          <w:p>
            <w:r>
              <w:rPr>
                <w:b w:val="false"/>
                <w:bCs w:val="false"/>
                <w:i w:val="false"/>
                <w:iCs w:val="false"/>
                <w:sz w:val="19"/>
                <w:szCs w:val="19"/>
              </w:rPr>
              <w:t xml:space="preserve">☐ oui   ☒ non   ☐ ne sait pas  — année : ……</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Secteur d'implantation du centre</w:t>
            </w:r>
          </w:p>
        </w:tc>
        <w:tc>
          <w:tcPr>
            <w:tcW w:type="dxa" w:w="6026"/>
            <w:tcMar>
              <w:top w:type="dxa" w:w="60"/>
              <w:left w:type="dxa" w:w="100"/>
              <w:bottom w:type="dxa" w:w="60"/>
              <w:right w:type="dxa" w:w="100"/>
            </w:tcMar>
          </w:tcPr>
          <w:p>
            <w:r>
              <w:rPr>
                <w:b w:val="false"/>
                <w:bCs w:val="false"/>
                <w:i w:val="false"/>
                <w:iCs w:val="false"/>
                <w:sz w:val="19"/>
                <w:szCs w:val="19"/>
              </w:rPr>
              <w:t xml:space="preserve">☐ urbain   ☒ rural périphérique</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Langue de l'entretien</w:t>
            </w:r>
          </w:p>
        </w:tc>
        <w:tc>
          <w:tcPr>
            <w:tcW w:type="dxa" w:w="6026"/>
            <w:tcMar>
              <w:top w:type="dxa" w:w="60"/>
              <w:left w:type="dxa" w:w="100"/>
              <w:bottom w:type="dxa" w:w="60"/>
              <w:right w:type="dxa" w:w="100"/>
            </w:tcMar>
          </w:tcPr>
          <w:p>
            <w:r>
              <w:rPr>
                <w:b w:val="false"/>
                <w:bCs w:val="false"/>
                <w:i w:val="false"/>
                <w:iCs w:val="false"/>
                <w:sz w:val="19"/>
                <w:szCs w:val="19"/>
              </w:rPr>
              <w:t xml:space="preserve">☒ kinyarwanda   ☐ français   ☐ anglais</w:t>
            </w:r>
          </w:p>
        </w:tc>
      </w:tr>
      <w:tr>
        <w:trPr>
          <w:tblHeader w:val="off"/>
        </w:trPr>
        <w:tc>
          <w:tcPr>
            <w:tcW w:type="dxa" w:w="3000"/>
            <w:tcMar>
              <w:top w:type="dxa" w:w="60"/>
              <w:left w:type="dxa" w:w="100"/>
              <w:bottom w:type="dxa" w:w="60"/>
              <w:right w:type="dxa" w:w="100"/>
            </w:tcMar>
          </w:tcPr>
          <w:p>
            <w:r>
              <w:rPr>
                <w:b w:val="false"/>
                <w:bCs w:val="false"/>
                <w:i w:val="false"/>
                <w:iCs w:val="false"/>
                <w:sz w:val="19"/>
                <w:szCs w:val="19"/>
              </w:rPr>
              <w:t xml:space="preserve">Date et durée de l'entretien</w:t>
            </w:r>
          </w:p>
        </w:tc>
        <w:tc>
          <w:tcPr>
            <w:tcW w:type="dxa" w:w="6026"/>
            <w:tcMar>
              <w:top w:type="dxa" w:w="60"/>
              <w:left w:type="dxa" w:w="100"/>
              <w:bottom w:type="dxa" w:w="60"/>
              <w:right w:type="dxa" w:w="100"/>
            </w:tcMar>
          </w:tcPr>
          <w:p>
            <w:r>
              <w:rPr>
                <w:b w:val="false"/>
                <w:bCs w:val="false"/>
                <w:i w:val="false"/>
                <w:iCs w:val="false"/>
                <w:sz w:val="19"/>
                <w:szCs w:val="19"/>
              </w:rPr>
              <w:t xml:space="preserve">30/09/2026 — 52 min</w:t>
            </w:r>
          </w:p>
        </w:tc>
      </w:tr>
    </w:tbl>
    <w:p>
      <w:r>
        <w:br w:type="page"/>
      </w:r>
    </w:p>
    <w:p>
      <w:pPr>
        <w:pStyle w:val="Heading1"/>
        <w:spacing w:after="160" w:before="280"/>
      </w:pPr>
      <w:r>
        <w:t xml:space="preserve">5. Annexe 4 — Registre de suivi des consentements</w:t>
      </w:r>
    </w:p>
    <w:p>
      <w:pPr>
        <w:rPr>
          <w:sz w:val="20"/>
          <w:szCs w:val="20"/>
        </w:rPr>
      </w:pPr>
      <w:r>
        <w:rPr>
          <w:sz w:val="20"/>
          <w:szCs w:val="20"/>
        </w:rPr>
        <w:t xml:space="preserve">Le formulaire d'information et de consentement (annexe 4) est remis en deux exemplaires et signé par chaque participant. Le § 4.2.7 prévoit que l'enregistrement et la citation d'extraits font l'objet d'accords DISTINCTS : ce registre les suit un par un, pour que l'analyse puisse en tenir compte.</w:t>
      </w:r>
    </w:p>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Aucune signature n'est simulée — et aucune ne doit l'être</w:t>
            </w:r>
          </w:p>
          <w:p>
            <w:r>
              <w:rPr>
                <w:sz w:val="19"/>
                <w:szCs w:val="19"/>
              </w:rPr>
              <w:t xml:space="preserve">Un formulaire de consentement signé est une pièce du dossier éthique. En fabriquer un, même pour s'exercer, produirait exactement le document qui ne doit jamais exister. Ce registre ne fait que suivre les accords ; les formulaires signés seront recueillis sur le terrain, en deux exemplaires.</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50"/>
        <w:gridCol w:w="1000"/>
        <w:gridCol w:w="1150"/>
        <w:gridCol w:w="1050"/>
        <w:gridCol w:w="1150"/>
        <w:gridCol w:w="1500"/>
        <w:gridCol w:w="1250"/>
        <w:gridCol w:w="1276"/>
      </w:tblGrid>
      <w:tr>
        <w:trPr>
          <w:tblHeader/>
        </w:trPr>
        <w:tc>
          <w:tcPr>
            <w:tcW w:type="dxa" w:w="65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1000"/>
            <w:shd w:fill="E8EDF2" w:color="auto" w:val="clear"/>
            <w:tcMar>
              <w:top w:type="dxa" w:w="60"/>
              <w:left w:type="dxa" w:w="100"/>
              <w:bottom w:type="dxa" w:w="60"/>
              <w:right w:type="dxa" w:w="100"/>
            </w:tcMar>
          </w:tcPr>
          <w:p>
            <w:r>
              <w:rPr>
                <w:b/>
                <w:bCs/>
                <w:i w:val="false"/>
                <w:iCs w:val="false"/>
                <w:sz w:val="19"/>
                <w:szCs w:val="19"/>
              </w:rPr>
              <w:t xml:space="preserve">Date</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Langue du formulaire</w:t>
            </w:r>
          </w:p>
        </w:tc>
        <w:tc>
          <w:tcPr>
            <w:tcW w:type="dxa" w:w="1050"/>
            <w:shd w:fill="E8EDF2" w:color="auto" w:val="clear"/>
            <w:tcMar>
              <w:top w:type="dxa" w:w="60"/>
              <w:left w:type="dxa" w:w="100"/>
              <w:bottom w:type="dxa" w:w="60"/>
              <w:right w:type="dxa" w:w="100"/>
            </w:tcMar>
          </w:tcPr>
          <w:p>
            <w:r>
              <w:rPr>
                <w:b/>
                <w:bCs/>
                <w:i w:val="false"/>
                <w:iCs w:val="false"/>
                <w:sz w:val="19"/>
                <w:szCs w:val="19"/>
              </w:rPr>
              <w:t xml:space="preserve">Consentement écrit</w:t>
            </w:r>
          </w:p>
        </w:tc>
        <w:tc>
          <w:tcPr>
            <w:tcW w:type="dxa" w:w="1150"/>
            <w:shd w:fill="E8EDF2" w:color="auto" w:val="clear"/>
            <w:tcMar>
              <w:top w:type="dxa" w:w="60"/>
              <w:left w:type="dxa" w:w="100"/>
              <w:bottom w:type="dxa" w:w="60"/>
              <w:right w:type="dxa" w:w="100"/>
            </w:tcMar>
          </w:tcPr>
          <w:p>
            <w:r>
              <w:rPr>
                <w:b/>
                <w:bCs/>
                <w:i w:val="false"/>
                <w:iCs w:val="false"/>
                <w:sz w:val="19"/>
                <w:szCs w:val="19"/>
              </w:rPr>
              <w:t xml:space="preserve">Enregistrement</w:t>
            </w:r>
          </w:p>
        </w:tc>
        <w:tc>
          <w:tcPr>
            <w:tcW w:type="dxa" w:w="1500"/>
            <w:shd w:fill="E8EDF2" w:color="auto" w:val="clear"/>
            <w:tcMar>
              <w:top w:type="dxa" w:w="60"/>
              <w:left w:type="dxa" w:w="100"/>
              <w:bottom w:type="dxa" w:w="60"/>
              <w:right w:type="dxa" w:w="100"/>
            </w:tcMar>
          </w:tcPr>
          <w:p>
            <w:r>
              <w:rPr>
                <w:b/>
                <w:bCs/>
                <w:i w:val="false"/>
                <w:iCs w:val="false"/>
                <w:sz w:val="19"/>
                <w:szCs w:val="19"/>
              </w:rPr>
              <w:t xml:space="preserve">Citation d'extraits</w:t>
            </w:r>
          </w:p>
        </w:tc>
        <w:tc>
          <w:tcPr>
            <w:tcW w:type="dxa" w:w="1250"/>
            <w:shd w:fill="E8EDF2" w:color="auto" w:val="clear"/>
            <w:tcMar>
              <w:top w:type="dxa" w:w="60"/>
              <w:left w:type="dxa" w:w="100"/>
              <w:bottom w:type="dxa" w:w="60"/>
              <w:right w:type="dxa" w:w="100"/>
            </w:tcMar>
          </w:tcPr>
          <w:p>
            <w:r>
              <w:rPr>
                <w:b/>
                <w:bCs/>
                <w:i w:val="false"/>
                <w:iCs w:val="false"/>
                <w:sz w:val="19"/>
                <w:szCs w:val="19"/>
              </w:rPr>
              <w:t xml:space="preserve">Recontact (vérification)</w:t>
            </w:r>
          </w:p>
        </w:tc>
        <w:tc>
          <w:tcPr>
            <w:tcW w:type="dxa" w:w="1276"/>
            <w:shd w:fill="E8EDF2" w:color="auto" w:val="clear"/>
            <w:tcMar>
              <w:top w:type="dxa" w:w="60"/>
              <w:left w:type="dxa" w:w="100"/>
              <w:bottom w:type="dxa" w:w="60"/>
              <w:right w:type="dxa" w:w="100"/>
            </w:tcMar>
          </w:tcPr>
          <w:p>
            <w:r>
              <w:rPr>
                <w:b/>
                <w:bCs/>
                <w:i w:val="false"/>
                <w:iCs w:val="false"/>
                <w:sz w:val="19"/>
                <w:szCs w:val="19"/>
              </w:rPr>
              <w:t xml:space="preserve">Signature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P01</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P02</w:t>
            </w:r>
          </w:p>
        </w:tc>
        <w:tc>
          <w:tcPr>
            <w:tcW w:type="dxa" w:w="1000"/>
            <w:tcMar>
              <w:top w:type="dxa" w:w="60"/>
              <w:left w:type="dxa" w:w="100"/>
              <w:bottom w:type="dxa" w:w="60"/>
              <w:right w:type="dxa" w:w="100"/>
            </w:tcMar>
          </w:tcPr>
          <w:p>
            <w:r>
              <w:rPr>
                <w:b w:val="false"/>
                <w:bCs w:val="false"/>
                <w:i w:val="false"/>
                <w:iCs w:val="false"/>
                <w:sz w:val="19"/>
                <w:szCs w:val="19"/>
              </w:rPr>
              <w:t xml:space="preserve">18/08/2026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P03</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P04</w:t>
            </w:r>
          </w:p>
        </w:tc>
        <w:tc>
          <w:tcPr>
            <w:tcW w:type="dxa" w:w="1000"/>
            <w:tcMar>
              <w:top w:type="dxa" w:w="60"/>
              <w:left w:type="dxa" w:w="100"/>
              <w:bottom w:type="dxa" w:w="60"/>
              <w:right w:type="dxa" w:w="100"/>
            </w:tcMar>
          </w:tcPr>
          <w:p>
            <w:r>
              <w:rPr>
                <w:b w:val="false"/>
                <w:bCs w:val="false"/>
                <w:i w:val="false"/>
                <w:iCs w:val="false"/>
                <w:sz w:val="19"/>
                <w:szCs w:val="19"/>
              </w:rPr>
              <w:t xml:space="preserve">25/08/2026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P05</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non</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P06</w:t>
            </w:r>
          </w:p>
        </w:tc>
        <w:tc>
          <w:tcPr>
            <w:tcW w:type="dxa" w:w="1000"/>
            <w:tcMar>
              <w:top w:type="dxa" w:w="60"/>
              <w:left w:type="dxa" w:w="100"/>
              <w:bottom w:type="dxa" w:w="60"/>
              <w:right w:type="dxa" w:w="100"/>
            </w:tcMar>
          </w:tcPr>
          <w:p>
            <w:r>
              <w:rPr>
                <w:b w:val="false"/>
                <w:bCs w:val="false"/>
                <w:i w:val="false"/>
                <w:iCs w:val="false"/>
                <w:sz w:val="19"/>
                <w:szCs w:val="19"/>
              </w:rPr>
              <w:t xml:space="preserve">01/09/2026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P07</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P08</w:t>
            </w:r>
          </w:p>
        </w:tc>
        <w:tc>
          <w:tcPr>
            <w:tcW w:type="dxa" w:w="1000"/>
            <w:tcMar>
              <w:top w:type="dxa" w:w="60"/>
              <w:left w:type="dxa" w:w="100"/>
              <w:bottom w:type="dxa" w:w="60"/>
              <w:right w:type="dxa" w:w="100"/>
            </w:tcMar>
          </w:tcPr>
          <w:p>
            <w:r>
              <w:rPr>
                <w:b w:val="false"/>
                <w:bCs w:val="false"/>
                <w:i w:val="false"/>
                <w:iCs w:val="false"/>
                <w:sz w:val="19"/>
                <w:szCs w:val="19"/>
              </w:rPr>
              <w:t xml:space="preserve">08/09/2026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P09</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P10</w:t>
            </w:r>
          </w:p>
        </w:tc>
        <w:tc>
          <w:tcPr>
            <w:tcW w:type="dxa" w:w="1000"/>
            <w:tcMar>
              <w:top w:type="dxa" w:w="60"/>
              <w:left w:type="dxa" w:w="100"/>
              <w:bottom w:type="dxa" w:w="60"/>
              <w:right w:type="dxa" w:w="100"/>
            </w:tcMar>
          </w:tcPr>
          <w:p>
            <w:r>
              <w:rPr>
                <w:b w:val="false"/>
                <w:bCs w:val="false"/>
                <w:i w:val="false"/>
                <w:iCs w:val="false"/>
                <w:sz w:val="19"/>
                <w:szCs w:val="19"/>
              </w:rPr>
              <w:t xml:space="preserve">15/09/2026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P11</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P12</w:t>
            </w:r>
          </w:p>
        </w:tc>
        <w:tc>
          <w:tcPr>
            <w:tcW w:type="dxa" w:w="1000"/>
            <w:tcMar>
              <w:top w:type="dxa" w:w="60"/>
              <w:left w:type="dxa" w:w="100"/>
              <w:bottom w:type="dxa" w:w="60"/>
              <w:right w:type="dxa" w:w="100"/>
            </w:tcMar>
          </w:tcPr>
          <w:p>
            <w:r>
              <w:rPr>
                <w:b w:val="false"/>
                <w:bCs w:val="false"/>
                <w:i w:val="false"/>
                <w:iCs w:val="false"/>
                <w:sz w:val="19"/>
                <w:szCs w:val="19"/>
              </w:rPr>
              <w:t xml:space="preserve">22/09/2026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P13</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P14</w:t>
            </w:r>
          </w:p>
        </w:tc>
        <w:tc>
          <w:tcPr>
            <w:tcW w:type="dxa" w:w="1000"/>
            <w:tcMar>
              <w:top w:type="dxa" w:w="60"/>
              <w:left w:type="dxa" w:w="100"/>
              <w:bottom w:type="dxa" w:w="60"/>
              <w:right w:type="dxa" w:w="100"/>
            </w:tcMar>
          </w:tcPr>
          <w:p>
            <w:r>
              <w:rPr>
                <w:b w:val="false"/>
                <w:bCs w:val="false"/>
                <w:i w:val="false"/>
                <w:iCs w:val="false"/>
                <w:sz w:val="19"/>
                <w:szCs w:val="19"/>
              </w:rPr>
              <w:t xml:space="preserve">23/09/2026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P15</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P16</w:t>
            </w:r>
          </w:p>
        </w:tc>
        <w:tc>
          <w:tcPr>
            <w:tcW w:type="dxa" w:w="1000"/>
            <w:tcMar>
              <w:top w:type="dxa" w:w="60"/>
              <w:left w:type="dxa" w:w="100"/>
              <w:bottom w:type="dxa" w:w="60"/>
              <w:right w:type="dxa" w:w="100"/>
            </w:tcMar>
          </w:tcPr>
          <w:p>
            <w:r>
              <w:rPr>
                <w:b w:val="false"/>
                <w:bCs w:val="false"/>
                <w:i w:val="false"/>
                <w:iCs w:val="false"/>
                <w:sz w:val="19"/>
                <w:szCs w:val="19"/>
              </w:rPr>
              <w:t xml:space="preserve">24/09/2026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P17</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P18</w:t>
            </w:r>
          </w:p>
        </w:tc>
        <w:tc>
          <w:tcPr>
            <w:tcW w:type="dxa" w:w="1000"/>
            <w:tcMar>
              <w:top w:type="dxa" w:w="60"/>
              <w:left w:type="dxa" w:w="100"/>
              <w:bottom w:type="dxa" w:w="60"/>
              <w:right w:type="dxa" w:w="100"/>
            </w:tcMar>
          </w:tcPr>
          <w:p>
            <w:r>
              <w:rPr>
                <w:b w:val="false"/>
                <w:bCs w:val="false"/>
                <w:i w:val="false"/>
                <w:iCs w:val="false"/>
                <w:sz w:val="19"/>
                <w:szCs w:val="19"/>
              </w:rPr>
              <w:t xml:space="preserve">25/09/2026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P19</w:t>
            </w:r>
          </w:p>
        </w:tc>
        <w:tc>
          <w:tcPr>
            <w:tcW w:type="dxa" w:w="1000"/>
            <w:tcMar>
              <w:top w:type="dxa" w:w="60"/>
              <w:left w:type="dxa" w:w="100"/>
              <w:bottom w:type="dxa" w:w="60"/>
              <w:right w:type="dxa" w:w="100"/>
            </w:tcMar>
          </w:tcPr>
          <w:p>
            <w:r>
              <w:rPr>
                <w:b w:val="false"/>
                <w:bCs w:val="false"/>
                <w:i w:val="false"/>
                <w:iCs w:val="false"/>
                <w:sz w:val="19"/>
                <w:szCs w:val="19"/>
              </w:rPr>
              <w:t xml:space="preserve">28/09/2026</w:t>
            </w:r>
          </w:p>
        </w:tc>
        <w:tc>
          <w:tcPr>
            <w:tcW w:type="dxa" w:w="1150"/>
            <w:tcMar>
              <w:top w:type="dxa" w:w="60"/>
              <w:left w:type="dxa" w:w="100"/>
              <w:bottom w:type="dxa" w:w="60"/>
              <w:right w:type="dxa" w:w="100"/>
            </w:tcMar>
          </w:tcPr>
          <w:p>
            <w:r>
              <w:rPr>
                <w:b w:val="false"/>
                <w:bCs w:val="false"/>
                <w:i w:val="false"/>
                <w:iCs w:val="false"/>
                <w:sz w:val="19"/>
                <w:szCs w:val="19"/>
              </w:rPr>
              <w:t xml:space="preserve">français</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 sans élément identifiant le centre</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P20</w:t>
            </w:r>
          </w:p>
        </w:tc>
        <w:tc>
          <w:tcPr>
            <w:tcW w:type="dxa" w:w="1000"/>
            <w:tcMar>
              <w:top w:type="dxa" w:w="60"/>
              <w:left w:type="dxa" w:w="100"/>
              <w:bottom w:type="dxa" w:w="60"/>
              <w:right w:type="dxa" w:w="100"/>
            </w:tcMar>
          </w:tcPr>
          <w:p>
            <w:r>
              <w:rPr>
                <w:b w:val="false"/>
                <w:bCs w:val="false"/>
                <w:i w:val="false"/>
                <w:iCs w:val="false"/>
                <w:sz w:val="19"/>
                <w:szCs w:val="19"/>
              </w:rPr>
              <w:t xml:space="preserve">29/09/2026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non</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r>
        <w:trPr>
          <w:tblHeader w:val="off"/>
        </w:trPr>
        <w:tc>
          <w:tcPr>
            <w:tcW w:type="dxa" w:w="650"/>
            <w:tcMar>
              <w:top w:type="dxa" w:w="60"/>
              <w:left w:type="dxa" w:w="100"/>
              <w:bottom w:type="dxa" w:w="60"/>
              <w:right w:type="dxa" w:w="100"/>
            </w:tcMar>
          </w:tcPr>
          <w:p>
            <w:r>
              <w:rPr>
                <w:b w:val="false"/>
                <w:bCs w:val="false"/>
                <w:i w:val="false"/>
                <w:iCs w:val="false"/>
                <w:sz w:val="19"/>
                <w:szCs w:val="19"/>
              </w:rPr>
              <w:t xml:space="preserve">P21</w:t>
            </w:r>
          </w:p>
        </w:tc>
        <w:tc>
          <w:tcPr>
            <w:tcW w:type="dxa" w:w="1000"/>
            <w:tcMar>
              <w:top w:type="dxa" w:w="60"/>
              <w:left w:type="dxa" w:w="100"/>
              <w:bottom w:type="dxa" w:w="60"/>
              <w:right w:type="dxa" w:w="100"/>
            </w:tcMar>
          </w:tcPr>
          <w:p>
            <w:r>
              <w:rPr>
                <w:b w:val="false"/>
                <w:bCs w:val="false"/>
                <w:i w:val="false"/>
                <w:iCs w:val="false"/>
                <w:sz w:val="19"/>
                <w:szCs w:val="19"/>
              </w:rPr>
              <w:t xml:space="preserve">30/09/2026</w:t>
            </w:r>
          </w:p>
        </w:tc>
        <w:tc>
          <w:tcPr>
            <w:tcW w:type="dxa" w:w="1150"/>
            <w:tcMar>
              <w:top w:type="dxa" w:w="60"/>
              <w:left w:type="dxa" w:w="100"/>
              <w:bottom w:type="dxa" w:w="60"/>
              <w:right w:type="dxa" w:w="100"/>
            </w:tcMar>
          </w:tcPr>
          <w:p>
            <w:r>
              <w:rPr>
                <w:b w:val="false"/>
                <w:bCs w:val="false"/>
                <w:i w:val="false"/>
                <w:iCs w:val="false"/>
                <w:sz w:val="19"/>
                <w:szCs w:val="19"/>
              </w:rPr>
              <w:t xml:space="preserve">kinyarwanda</w:t>
            </w:r>
          </w:p>
        </w:tc>
        <w:tc>
          <w:tcPr>
            <w:tcW w:type="dxa" w:w="1050"/>
            <w:tcMar>
              <w:top w:type="dxa" w:w="60"/>
              <w:left w:type="dxa" w:w="100"/>
              <w:bottom w:type="dxa" w:w="60"/>
              <w:right w:type="dxa" w:w="100"/>
            </w:tcMar>
          </w:tcPr>
          <w:p>
            <w:r>
              <w:rPr>
                <w:b w:val="false"/>
                <w:bCs w:val="false"/>
                <w:i w:val="false"/>
                <w:iCs w:val="false"/>
                <w:sz w:val="19"/>
                <w:szCs w:val="19"/>
              </w:rPr>
              <w:t xml:space="preserve">oui</w:t>
            </w:r>
          </w:p>
        </w:tc>
        <w:tc>
          <w:tcPr>
            <w:tcW w:type="dxa" w:w="1150"/>
            <w:tcMar>
              <w:top w:type="dxa" w:w="60"/>
              <w:left w:type="dxa" w:w="100"/>
              <w:bottom w:type="dxa" w:w="60"/>
              <w:right w:type="dxa" w:w="100"/>
            </w:tcMar>
          </w:tcPr>
          <w:p>
            <w:r>
              <w:rPr>
                <w:b w:val="false"/>
                <w:bCs w:val="false"/>
                <w:i w:val="false"/>
                <w:iCs w:val="false"/>
                <w:sz w:val="19"/>
                <w:szCs w:val="19"/>
              </w:rPr>
              <w:t xml:space="preserve">oui</w:t>
            </w:r>
          </w:p>
        </w:tc>
        <w:tc>
          <w:tcPr>
            <w:tcW w:type="dxa" w:w="1500"/>
            <w:tcMar>
              <w:top w:type="dxa" w:w="60"/>
              <w:left w:type="dxa" w:w="100"/>
              <w:bottom w:type="dxa" w:w="60"/>
              <w:right w:type="dxa" w:w="100"/>
            </w:tcMar>
          </w:tcPr>
          <w:p>
            <w:r>
              <w:rPr>
                <w:b w:val="false"/>
                <w:bCs w:val="false"/>
                <w:i w:val="false"/>
                <w:iCs w:val="false"/>
                <w:sz w:val="19"/>
                <w:szCs w:val="19"/>
              </w:rPr>
              <w:t xml:space="preserve">oui</w:t>
            </w:r>
          </w:p>
        </w:tc>
        <w:tc>
          <w:tcPr>
            <w:tcW w:type="dxa" w:w="1250"/>
            <w:tcMar>
              <w:top w:type="dxa" w:w="60"/>
              <w:left w:type="dxa" w:w="100"/>
              <w:bottom w:type="dxa" w:w="60"/>
              <w:right w:type="dxa" w:w="100"/>
            </w:tcMar>
          </w:tcPr>
          <w:p>
            <w:r>
              <w:rPr>
                <w:b w:val="false"/>
                <w:bCs w:val="false"/>
                <w:i w:val="false"/>
                <w:iCs w:val="false"/>
                <w:sz w:val="19"/>
                <w:szCs w:val="19"/>
              </w:rPr>
              <w:t xml:space="preserve">oui</w:t>
            </w:r>
          </w:p>
        </w:tc>
        <w:tc>
          <w:tcPr>
            <w:tcW w:type="dxa" w:w="1276"/>
            <w:tcMar>
              <w:top w:type="dxa" w:w="60"/>
              <w:left w:type="dxa" w:w="100"/>
              <w:bottom w:type="dxa" w:w="60"/>
              <w:right w:type="dxa" w:w="100"/>
            </w:tcMar>
          </w:tcPr>
          <w:p>
            <w:r>
              <w:rPr>
                <w:b w:val="false"/>
                <w:bCs w:val="false"/>
                <w:i w:val="false"/>
                <w:iCs w:val="false"/>
                <w:sz w:val="19"/>
                <w:szCs w:val="19"/>
              </w:rPr>
              <w:t xml:space="preserve">non simulée</w:t>
            </w:r>
          </w:p>
        </w:tc>
      </w:tr>
    </w:tbl>
    <w:p/>
    <w:p>
      <w:pPr>
        <w:pStyle w:val="Heading3"/>
        <w:spacing w:after="100" w:before="180"/>
      </w:pPr>
      <w:r>
        <w:t xml:space="preserve">Particularités à respecter dans l'analyse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Code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Accord particulier</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P05</w:t>
            </w:r>
          </w:p>
        </w:tc>
        <w:tc>
          <w:tcPr>
            <w:tcW w:type="dxa" w:w="8026"/>
            <w:tcMar>
              <w:top w:type="dxa" w:w="60"/>
              <w:left w:type="dxa" w:w="100"/>
              <w:bottom w:type="dxa" w:w="60"/>
              <w:right w:type="dxa" w:w="100"/>
            </w:tcMar>
          </w:tcPr>
          <w:p>
            <w:r>
              <w:rPr>
                <w:b w:val="false"/>
                <w:bCs w:val="false"/>
                <w:i w:val="false"/>
                <w:iCs w:val="false"/>
                <w:sz w:val="19"/>
                <w:szCs w:val="19"/>
              </w:rPr>
              <w:t xml:space="preserve">Accepte l'entretien et l'enregistrement ; refuse la citation d'extraits. Ses propos peuvent être analysés et rapportés de manière agrégée, jamais cités.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P08</w:t>
            </w:r>
          </w:p>
        </w:tc>
        <w:tc>
          <w:tcPr>
            <w:tcW w:type="dxa" w:w="8026"/>
            <w:tcMar>
              <w:top w:type="dxa" w:w="60"/>
              <w:left w:type="dxa" w:w="100"/>
              <w:bottom w:type="dxa" w:w="60"/>
              <w:right w:type="dxa" w:w="100"/>
            </w:tcMar>
          </w:tcPr>
          <w:p>
            <w:r>
              <w:rPr>
                <w:b w:val="false"/>
                <w:bCs w:val="false"/>
                <w:i w:val="false"/>
                <w:iCs w:val="false"/>
                <w:sz w:val="19"/>
                <w:szCs w:val="19"/>
              </w:rPr>
              <w:t xml:space="preserve">Ne souhaite pas être recontacté pour la vérification des interprétations.</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P19</w:t>
            </w:r>
          </w:p>
        </w:tc>
        <w:tc>
          <w:tcPr>
            <w:tcW w:type="dxa" w:w="8026"/>
            <w:tcMar>
              <w:top w:type="dxa" w:w="60"/>
              <w:left w:type="dxa" w:w="100"/>
              <w:bottom w:type="dxa" w:w="60"/>
              <w:right w:type="dxa" w:w="100"/>
            </w:tcMar>
          </w:tcPr>
          <w:p>
            <w:r>
              <w:rPr>
                <w:b w:val="false"/>
                <w:bCs w:val="false"/>
                <w:i w:val="false"/>
                <w:iCs w:val="false"/>
                <w:sz w:val="19"/>
                <w:szCs w:val="19"/>
              </w:rPr>
              <w:t xml:space="preserve">Citation acceptée sous condition : aucun extrait ne doit être associé au code de structure, ni contenir d'élément permettant d'identifier le centre.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P20</w:t>
            </w:r>
          </w:p>
        </w:tc>
        <w:tc>
          <w:tcPr>
            <w:tcW w:type="dxa" w:w="8026"/>
            <w:tcMar>
              <w:top w:type="dxa" w:w="60"/>
              <w:left w:type="dxa" w:w="100"/>
              <w:bottom w:type="dxa" w:w="60"/>
              <w:right w:type="dxa" w:w="100"/>
            </w:tcMar>
          </w:tcPr>
          <w:p>
            <w:r>
              <w:rPr>
                <w:b w:val="false"/>
                <w:bCs w:val="false"/>
                <w:i w:val="false"/>
                <w:iCs w:val="false"/>
                <w:sz w:val="19"/>
                <w:szCs w:val="19"/>
              </w:rPr>
              <w:t xml:space="preserve">Départ à la retraite prévu ; ne sera pas joignable pour la vérification des interprétations.</w:t>
            </w:r>
          </w:p>
        </w:tc>
      </w:tr>
    </w:tbl>
    <w:p>
      <w:r>
        <w:br w:type="page"/>
      </w:r>
    </w:p>
    <w:p>
      <w:pPr>
        <w:pStyle w:val="Heading1"/>
        <w:spacing w:after="160" w:before="280"/>
      </w:pPr>
      <w:r>
        <w:t xml:space="preserve">6. Annexe 9 — Données de routine du district</w:t>
      </w:r>
    </w:p>
    <w:tbl>
      <w:tblPr>
        <w:tblW w:type="dxa" w:w="9026"/>
        <w:tblBorders>
          <w:top w:val="single" w:color="C0392B" w:sz="10"/>
          <w:left w:val="single" w:color="C0392B" w:sz="10"/>
          <w:bottom w:val="single" w:color="C0392B" w:sz="10"/>
          <w:right w:val="single" w:color="C0392B" w:sz="10"/>
          <w:insideH w:val="single" w:color="auto" w:sz="4"/>
          <w:insideV w:val="single" w:color="auto" w:sz="4"/>
        </w:tblBorders>
      </w:tblPr>
      <w:tblGrid>
        <w:gridCol w:w="9026"/>
      </w:tblGrid>
      <w:tr>
        <w:tc>
          <w:tcPr>
            <w:tcW w:type="dxa" w:w="9026"/>
            <w:shd w:fill="FDEDEC" w:color="auto" w:val="clear"/>
            <w:tcMar>
              <w:top w:type="dxa" w:w="120"/>
              <w:left w:type="dxa" w:w="160"/>
              <w:bottom w:type="dxa" w:w="120"/>
              <w:right w:type="dxa" w:w="160"/>
            </w:tcMar>
          </w:tcPr>
          <w:p>
            <w:r>
              <w:rPr>
                <w:b/>
                <w:bCs/>
                <w:color w:val="C0392B"/>
                <w:sz w:val="20"/>
                <w:szCs w:val="20"/>
              </w:rPr>
              <w:t xml:space="preserve">Valeurs entièrement fictives</w:t>
            </w:r>
          </w:p>
          <w:p>
            <w:r>
              <w:rPr>
                <w:sz w:val="19"/>
                <w:szCs w:val="19"/>
              </w:rPr>
              <w:t xml:space="preserve">Aucune donnée du système d'information sanitaire n'a été consultée. Les valeurs ont été construites pour rester cohérentes avec les observations et les entretiens simulés, afin que l'exercice de triangulation ait un sens. Elles ne décrivent aucun centre réel.</w:t>
            </w:r>
          </w:p>
        </w:tc>
      </w:tr>
    </w:tbl>
    <w:p/>
    <w:p>
      <w:pPr>
        <w:rPr>
          <w:i/>
          <w:iCs/>
          <w:sz w:val="19"/>
          <w:szCs w:val="19"/>
        </w:rPr>
      </w:pPr>
      <w:r>
        <w:rPr>
          <w:i/>
          <w:iCs/>
          <w:sz w:val="19"/>
          <w:szCs w:val="19"/>
        </w:rPr>
        <w:t xml:space="preserve">Source et période : Direction de la santé du district (SIMULÉ) — année civile 2025. Les secteurs administratifs ne sont pas nommés : ils sont désignés par le code du centre qu'ils abritent, pour qu'aucun chiffre fictif ne puisse être attribué à un lieu réel.</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200"/>
        <w:gridCol w:w="1700"/>
        <w:gridCol w:w="1900"/>
        <w:gridCol w:w="15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CPN1</w:t>
            </w:r>
          </w:p>
        </w:tc>
        <w:tc>
          <w:tcPr>
            <w:tcW w:type="dxa" w:w="900"/>
            <w:shd w:fill="E8EDF2" w:color="auto" w:val="clear"/>
            <w:tcMar>
              <w:top w:type="dxa" w:w="60"/>
              <w:left w:type="dxa" w:w="100"/>
              <w:bottom w:type="dxa" w:w="60"/>
              <w:right w:type="dxa" w:w="100"/>
            </w:tcMar>
          </w:tcPr>
          <w:p>
            <w:r>
              <w:rPr>
                <w:b/>
                <w:bCs/>
                <w:i w:val="false"/>
                <w:iCs w:val="false"/>
                <w:sz w:val="19"/>
                <w:szCs w:val="19"/>
              </w:rPr>
              <w:t xml:space="preserve">CPN4</w:t>
            </w:r>
          </w:p>
        </w:tc>
        <w:tc>
          <w:tcPr>
            <w:tcW w:type="dxa" w:w="1200"/>
            <w:shd w:fill="E8EDF2" w:color="auto" w:val="clear"/>
            <w:tcMar>
              <w:top w:type="dxa" w:w="60"/>
              <w:left w:type="dxa" w:w="100"/>
              <w:bottom w:type="dxa" w:w="60"/>
              <w:right w:type="dxa" w:w="100"/>
            </w:tcMar>
          </w:tcPr>
          <w:p>
            <w:r>
              <w:rPr>
                <w:b/>
                <w:bCs/>
                <w:i w:val="false"/>
                <w:iCs w:val="false"/>
                <w:sz w:val="19"/>
                <w:szCs w:val="19"/>
              </w:rPr>
              <w:t xml:space="preserve">CPN4 / CPN1</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1er contact au 1er trim.</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Référées HTA / prééclampsie</w:t>
            </w:r>
          </w:p>
        </w:tc>
        <w:tc>
          <w:tcPr>
            <w:tcW w:type="dxa" w:w="1526"/>
            <w:shd w:fill="E8EDF2" w:color="auto" w:val="clear"/>
            <w:tcMar>
              <w:top w:type="dxa" w:w="60"/>
              <w:left w:type="dxa" w:w="100"/>
              <w:bottom w:type="dxa" w:w="60"/>
              <w:right w:type="dxa" w:w="100"/>
            </w:tcMar>
          </w:tcPr>
          <w:p>
            <w:r>
              <w:rPr>
                <w:b/>
                <w:bCs/>
                <w:i w:val="false"/>
                <w:iCs w:val="false"/>
                <w:sz w:val="19"/>
                <w:szCs w:val="19"/>
              </w:rPr>
              <w:t xml:space="preserve">Effectif CPN</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900"/>
            <w:tcMar>
              <w:top w:type="dxa" w:w="60"/>
              <w:left w:type="dxa" w:w="100"/>
              <w:bottom w:type="dxa" w:w="60"/>
              <w:right w:type="dxa" w:w="100"/>
            </w:tcMar>
          </w:tcPr>
          <w:p>
            <w:r>
              <w:rPr>
                <w:b w:val="false"/>
                <w:bCs w:val="false"/>
                <w:i w:val="false"/>
                <w:iCs w:val="false"/>
                <w:sz w:val="19"/>
                <w:szCs w:val="19"/>
              </w:rPr>
              <w:t xml:space="preserve">470</w:t>
            </w:r>
          </w:p>
        </w:tc>
        <w:tc>
          <w:tcPr>
            <w:tcW w:type="dxa" w:w="900"/>
            <w:tcMar>
              <w:top w:type="dxa" w:w="60"/>
              <w:left w:type="dxa" w:w="100"/>
              <w:bottom w:type="dxa" w:w="60"/>
              <w:right w:type="dxa" w:w="100"/>
            </w:tcMar>
          </w:tcPr>
          <w:p>
            <w:r>
              <w:rPr>
                <w:b w:val="false"/>
                <w:bCs w:val="false"/>
                <w:i w:val="false"/>
                <w:iCs w:val="false"/>
                <w:sz w:val="19"/>
                <w:szCs w:val="19"/>
              </w:rPr>
              <w:t xml:space="preserve">305</w:t>
            </w:r>
          </w:p>
        </w:tc>
        <w:tc>
          <w:tcPr>
            <w:tcW w:type="dxa" w:w="1200"/>
            <w:tcMar>
              <w:top w:type="dxa" w:w="60"/>
              <w:left w:type="dxa" w:w="100"/>
              <w:bottom w:type="dxa" w:w="60"/>
              <w:right w:type="dxa" w:w="100"/>
            </w:tcMar>
          </w:tcPr>
          <w:p>
            <w:r>
              <w:rPr>
                <w:b w:val="false"/>
                <w:bCs w:val="false"/>
                <w:i w:val="false"/>
                <w:iCs w:val="false"/>
                <w:sz w:val="19"/>
                <w:szCs w:val="19"/>
              </w:rPr>
              <w:t xml:space="preserve">65 %</w:t>
            </w:r>
          </w:p>
        </w:tc>
        <w:tc>
          <w:tcPr>
            <w:tcW w:type="dxa" w:w="1700"/>
            <w:tcMar>
              <w:top w:type="dxa" w:w="60"/>
              <w:left w:type="dxa" w:w="100"/>
              <w:bottom w:type="dxa" w:w="60"/>
              <w:right w:type="dxa" w:w="100"/>
            </w:tcMar>
          </w:tcPr>
          <w:p>
            <w:r>
              <w:rPr>
                <w:b w:val="false"/>
                <w:bCs w:val="false"/>
                <w:i w:val="false"/>
                <w:iCs w:val="false"/>
                <w:sz w:val="19"/>
                <w:szCs w:val="19"/>
              </w:rPr>
              <w:t xml:space="preserve">52 %</w:t>
            </w:r>
          </w:p>
        </w:tc>
        <w:tc>
          <w:tcPr>
            <w:tcW w:type="dxa" w:w="1900"/>
            <w:tcMar>
              <w:top w:type="dxa" w:w="60"/>
              <w:left w:type="dxa" w:w="100"/>
              <w:bottom w:type="dxa" w:w="60"/>
              <w:right w:type="dxa" w:w="100"/>
            </w:tcMar>
          </w:tcPr>
          <w:p>
            <w:r>
              <w:rPr>
                <w:b w:val="false"/>
                <w:bCs w:val="false"/>
                <w:i w:val="false"/>
                <w:iCs w:val="false"/>
                <w:sz w:val="19"/>
                <w:szCs w:val="19"/>
              </w:rPr>
              <w:t xml:space="preserve">48</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900"/>
            <w:tcMar>
              <w:top w:type="dxa" w:w="60"/>
              <w:left w:type="dxa" w:w="100"/>
              <w:bottom w:type="dxa" w:w="60"/>
              <w:right w:type="dxa" w:w="100"/>
            </w:tcMar>
          </w:tcPr>
          <w:p>
            <w:r>
              <w:rPr>
                <w:b w:val="false"/>
                <w:bCs w:val="false"/>
                <w:i w:val="false"/>
                <w:iCs w:val="false"/>
                <w:sz w:val="19"/>
                <w:szCs w:val="19"/>
              </w:rPr>
              <w:t xml:space="preserve">360</w:t>
            </w:r>
          </w:p>
        </w:tc>
        <w:tc>
          <w:tcPr>
            <w:tcW w:type="dxa" w:w="900"/>
            <w:tcMar>
              <w:top w:type="dxa" w:w="60"/>
              <w:left w:type="dxa" w:w="100"/>
              <w:bottom w:type="dxa" w:w="60"/>
              <w:right w:type="dxa" w:w="100"/>
            </w:tcMar>
          </w:tcPr>
          <w:p>
            <w:r>
              <w:rPr>
                <w:b w:val="false"/>
                <w:bCs w:val="false"/>
                <w:i w:val="false"/>
                <w:iCs w:val="false"/>
                <w:sz w:val="19"/>
                <w:szCs w:val="19"/>
              </w:rPr>
              <w:t xml:space="preserve">214</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46 %</w:t>
            </w:r>
          </w:p>
        </w:tc>
        <w:tc>
          <w:tcPr>
            <w:tcW w:type="dxa" w:w="1900"/>
            <w:tcMar>
              <w:top w:type="dxa" w:w="60"/>
              <w:left w:type="dxa" w:w="100"/>
              <w:bottom w:type="dxa" w:w="60"/>
              <w:right w:type="dxa" w:w="100"/>
            </w:tcMar>
          </w:tcPr>
          <w:p>
            <w:r>
              <w:rPr>
                <w:b w:val="false"/>
                <w:bCs w:val="false"/>
                <w:i w:val="false"/>
                <w:iCs w:val="false"/>
                <w:sz w:val="19"/>
                <w:szCs w:val="19"/>
              </w:rPr>
              <w:t xml:space="preserve">41</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262</w:t>
            </w:r>
          </w:p>
        </w:tc>
        <w:tc>
          <w:tcPr>
            <w:tcW w:type="dxa" w:w="1200"/>
            <w:tcMar>
              <w:top w:type="dxa" w:w="60"/>
              <w:left w:type="dxa" w:w="100"/>
              <w:bottom w:type="dxa" w:w="60"/>
              <w:right w:type="dxa" w:w="100"/>
            </w:tcMar>
          </w:tcPr>
          <w:p>
            <w:r>
              <w:rPr>
                <w:b w:val="false"/>
                <w:bCs w:val="false"/>
                <w:i w:val="false"/>
                <w:iCs w:val="false"/>
                <w:sz w:val="19"/>
                <w:szCs w:val="19"/>
              </w:rPr>
              <w:t xml:space="preserve">64 %</w:t>
            </w:r>
          </w:p>
        </w:tc>
        <w:tc>
          <w:tcPr>
            <w:tcW w:type="dxa" w:w="1700"/>
            <w:tcMar>
              <w:top w:type="dxa" w:w="60"/>
              <w:left w:type="dxa" w:w="100"/>
              <w:bottom w:type="dxa" w:w="60"/>
              <w:right w:type="dxa" w:w="100"/>
            </w:tcMar>
          </w:tcPr>
          <w:p>
            <w:r>
              <w:rPr>
                <w:b w:val="false"/>
                <w:bCs w:val="false"/>
                <w:i w:val="false"/>
                <w:iCs w:val="false"/>
                <w:sz w:val="19"/>
                <w:szCs w:val="19"/>
              </w:rPr>
              <w:t xml:space="preserve">49 %</w:t>
            </w:r>
          </w:p>
        </w:tc>
        <w:tc>
          <w:tcPr>
            <w:tcW w:type="dxa" w:w="1900"/>
            <w:tcMar>
              <w:top w:type="dxa" w:w="60"/>
              <w:left w:type="dxa" w:w="100"/>
              <w:bottom w:type="dxa" w:w="60"/>
              <w:right w:type="dxa" w:w="100"/>
            </w:tcMar>
          </w:tcPr>
          <w:p>
            <w:r>
              <w:rPr>
                <w:b w:val="false"/>
                <w:bCs w:val="false"/>
                <w:i w:val="false"/>
                <w:iCs w:val="false"/>
                <w:sz w:val="19"/>
                <w:szCs w:val="19"/>
              </w:rPr>
              <w:t xml:space="preserve">57</w:t>
            </w:r>
          </w:p>
        </w:tc>
        <w:tc>
          <w:tcPr>
            <w:tcW w:type="dxa" w:w="1526"/>
            <w:tcMar>
              <w:top w:type="dxa" w:w="60"/>
              <w:left w:type="dxa" w:w="100"/>
              <w:bottom w:type="dxa" w:w="60"/>
              <w:right w:type="dxa" w:w="100"/>
            </w:tcMar>
          </w:tcPr>
          <w:p>
            <w:r>
              <w:rPr>
                <w:b w:val="false"/>
                <w:bCs w:val="false"/>
                <w:i w:val="false"/>
                <w:iCs w:val="false"/>
                <w:sz w:val="19"/>
                <w:szCs w:val="19"/>
              </w:rPr>
              <w:t xml:space="preserve">4</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900"/>
            <w:tcMar>
              <w:top w:type="dxa" w:w="60"/>
              <w:left w:type="dxa" w:w="100"/>
              <w:bottom w:type="dxa" w:w="60"/>
              <w:right w:type="dxa" w:w="100"/>
            </w:tcMar>
          </w:tcPr>
          <w:p>
            <w:r>
              <w:rPr>
                <w:b w:val="false"/>
                <w:bCs w:val="false"/>
                <w:i w:val="false"/>
                <w:iCs w:val="false"/>
                <w:sz w:val="19"/>
                <w:szCs w:val="19"/>
              </w:rPr>
              <w:t xml:space="preserve">230</w:t>
            </w:r>
          </w:p>
        </w:tc>
        <w:tc>
          <w:tcPr>
            <w:tcW w:type="dxa" w:w="900"/>
            <w:tcMar>
              <w:top w:type="dxa" w:w="60"/>
              <w:left w:type="dxa" w:w="100"/>
              <w:bottom w:type="dxa" w:w="60"/>
              <w:right w:type="dxa" w:w="100"/>
            </w:tcMar>
          </w:tcPr>
          <w:p>
            <w:r>
              <w:rPr>
                <w:b w:val="false"/>
                <w:bCs w:val="false"/>
                <w:i w:val="false"/>
                <w:iCs w:val="false"/>
                <w:sz w:val="19"/>
                <w:szCs w:val="19"/>
              </w:rPr>
              <w:t xml:space="preserve">115</w:t>
            </w:r>
          </w:p>
        </w:tc>
        <w:tc>
          <w:tcPr>
            <w:tcW w:type="dxa" w:w="1200"/>
            <w:tcMar>
              <w:top w:type="dxa" w:w="60"/>
              <w:left w:type="dxa" w:w="100"/>
              <w:bottom w:type="dxa" w:w="60"/>
              <w:right w:type="dxa" w:w="100"/>
            </w:tcMar>
          </w:tcPr>
          <w:p>
            <w:r>
              <w:rPr>
                <w:b w:val="false"/>
                <w:bCs w:val="false"/>
                <w:i w:val="false"/>
                <w:iCs w:val="false"/>
                <w:sz w:val="19"/>
                <w:szCs w:val="19"/>
              </w:rPr>
              <w:t xml:space="preserve">50 %</w:t>
            </w:r>
          </w:p>
        </w:tc>
        <w:tc>
          <w:tcPr>
            <w:tcW w:type="dxa" w:w="1700"/>
            <w:tcMar>
              <w:top w:type="dxa" w:w="60"/>
              <w:left w:type="dxa" w:w="100"/>
              <w:bottom w:type="dxa" w:w="60"/>
              <w:right w:type="dxa" w:w="100"/>
            </w:tcMar>
          </w:tcPr>
          <w:p>
            <w:r>
              <w:rPr>
                <w:b w:val="false"/>
                <w:bCs w:val="false"/>
                <w:i w:val="false"/>
                <w:iCs w:val="false"/>
                <w:sz w:val="19"/>
                <w:szCs w:val="19"/>
              </w:rPr>
              <w:t xml:space="preserve">38 %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900"/>
            <w:tcMar>
              <w:top w:type="dxa" w:w="60"/>
              <w:left w:type="dxa" w:w="100"/>
              <w:bottom w:type="dxa" w:w="60"/>
              <w:right w:type="dxa" w:w="100"/>
            </w:tcMar>
          </w:tcPr>
          <w:p>
            <w:r>
              <w:rPr>
                <w:b w:val="false"/>
                <w:bCs w:val="false"/>
                <w:i w:val="false"/>
                <w:iCs w:val="false"/>
                <w:sz w:val="19"/>
                <w:szCs w:val="19"/>
              </w:rPr>
              <w:t xml:space="preserve">170</w:t>
            </w:r>
          </w:p>
        </w:tc>
        <w:tc>
          <w:tcPr>
            <w:tcW w:type="dxa" w:w="900"/>
            <w:tcMar>
              <w:top w:type="dxa" w:w="60"/>
              <w:left w:type="dxa" w:w="100"/>
              <w:bottom w:type="dxa" w:w="60"/>
              <w:right w:type="dxa" w:w="100"/>
            </w:tcMar>
          </w:tcPr>
          <w:p>
            <w:r>
              <w:rPr>
                <w:b w:val="false"/>
                <w:bCs w:val="false"/>
                <w:i w:val="false"/>
                <w:iCs w:val="false"/>
                <w:sz w:val="19"/>
                <w:szCs w:val="19"/>
              </w:rPr>
              <w:t xml:space="preserve">70</w:t>
            </w:r>
          </w:p>
        </w:tc>
        <w:tc>
          <w:tcPr>
            <w:tcW w:type="dxa" w:w="1200"/>
            <w:tcMar>
              <w:top w:type="dxa" w:w="60"/>
              <w:left w:type="dxa" w:w="100"/>
              <w:bottom w:type="dxa" w:w="60"/>
              <w:right w:type="dxa" w:w="100"/>
            </w:tcMar>
          </w:tcPr>
          <w:p>
            <w:r>
              <w:rPr>
                <w:b w:val="false"/>
                <w:bCs w:val="false"/>
                <w:i w:val="false"/>
                <w:iCs w:val="false"/>
                <w:sz w:val="19"/>
                <w:szCs w:val="19"/>
              </w:rPr>
              <w:t xml:space="preserve">41 %</w:t>
            </w:r>
          </w:p>
        </w:tc>
        <w:tc>
          <w:tcPr>
            <w:tcW w:type="dxa" w:w="1700"/>
            <w:tcMar>
              <w:top w:type="dxa" w:w="60"/>
              <w:left w:type="dxa" w:w="100"/>
              <w:bottom w:type="dxa" w:w="60"/>
              <w:right w:type="dxa" w:w="100"/>
            </w:tcMar>
          </w:tcPr>
          <w:p>
            <w:r>
              <w:rPr>
                <w:b w:val="false"/>
                <w:bCs w:val="false"/>
                <w:i w:val="false"/>
                <w:iCs w:val="false"/>
                <w:sz w:val="19"/>
                <w:szCs w:val="19"/>
              </w:rPr>
              <w:t xml:space="preserve">31 %</w:t>
            </w:r>
          </w:p>
        </w:tc>
        <w:tc>
          <w:tcPr>
            <w:tcW w:type="dxa" w:w="1900"/>
            <w:tcMar>
              <w:top w:type="dxa" w:w="60"/>
              <w:left w:type="dxa" w:w="100"/>
              <w:bottom w:type="dxa" w:w="60"/>
              <w:right w:type="dxa" w:w="100"/>
            </w:tcMar>
          </w:tcPr>
          <w:p>
            <w:r>
              <w:rPr>
                <w:b w:val="false"/>
                <w:bCs w:val="false"/>
                <w:i w:val="false"/>
                <w:iCs w:val="false"/>
                <w:sz w:val="19"/>
                <w:szCs w:val="19"/>
              </w:rPr>
              <w:t xml:space="preserve">7</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900"/>
            <w:tcMar>
              <w:top w:type="dxa" w:w="60"/>
              <w:left w:type="dxa" w:w="100"/>
              <w:bottom w:type="dxa" w:w="60"/>
              <w:right w:type="dxa" w:w="100"/>
            </w:tcMar>
          </w:tcPr>
          <w:p>
            <w:r>
              <w:rPr>
                <w:b w:val="false"/>
                <w:bCs w:val="false"/>
                <w:i w:val="false"/>
                <w:iCs w:val="false"/>
                <w:sz w:val="19"/>
                <w:szCs w:val="19"/>
              </w:rPr>
              <w:t xml:space="preserve">395</w:t>
            </w:r>
          </w:p>
        </w:tc>
        <w:tc>
          <w:tcPr>
            <w:tcW w:type="dxa" w:w="900"/>
            <w:tcMar>
              <w:top w:type="dxa" w:w="60"/>
              <w:left w:type="dxa" w:w="100"/>
              <w:bottom w:type="dxa" w:w="60"/>
              <w:right w:type="dxa" w:w="100"/>
            </w:tcMar>
          </w:tcPr>
          <w:p>
            <w:r>
              <w:rPr>
                <w:b w:val="false"/>
                <w:bCs w:val="false"/>
                <w:i w:val="false"/>
                <w:iCs w:val="false"/>
                <w:sz w:val="19"/>
                <w:szCs w:val="19"/>
              </w:rPr>
              <w:t xml:space="preserve">221</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44 %</w:t>
            </w:r>
          </w:p>
        </w:tc>
        <w:tc>
          <w:tcPr>
            <w:tcW w:type="dxa" w:w="1900"/>
            <w:tcMar>
              <w:top w:type="dxa" w:w="60"/>
              <w:left w:type="dxa" w:w="100"/>
              <w:bottom w:type="dxa" w:w="60"/>
              <w:right w:type="dxa" w:w="100"/>
            </w:tcMar>
          </w:tcPr>
          <w:p>
            <w:r>
              <w:rPr>
                <w:b w:val="false"/>
                <w:bCs w:val="false"/>
                <w:i w:val="false"/>
                <w:iCs w:val="false"/>
                <w:sz w:val="19"/>
                <w:szCs w:val="19"/>
              </w:rPr>
              <w:t xml:space="preserve">33</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900"/>
            <w:tcMar>
              <w:top w:type="dxa" w:w="60"/>
              <w:left w:type="dxa" w:w="100"/>
              <w:bottom w:type="dxa" w:w="60"/>
              <w:right w:type="dxa" w:w="100"/>
            </w:tcMar>
          </w:tcPr>
          <w:p>
            <w:r>
              <w:rPr>
                <w:b w:val="false"/>
                <w:bCs w:val="false"/>
                <w:i w:val="false"/>
                <w:iCs w:val="false"/>
                <w:sz w:val="19"/>
                <w:szCs w:val="19"/>
              </w:rPr>
              <w:t xml:space="preserve">245</w:t>
            </w:r>
          </w:p>
        </w:tc>
        <w:tc>
          <w:tcPr>
            <w:tcW w:type="dxa" w:w="900"/>
            <w:tcMar>
              <w:top w:type="dxa" w:w="60"/>
              <w:left w:type="dxa" w:w="100"/>
              <w:bottom w:type="dxa" w:w="60"/>
              <w:right w:type="dxa" w:w="100"/>
            </w:tcMar>
          </w:tcPr>
          <w:p>
            <w:r>
              <w:rPr>
                <w:b w:val="false"/>
                <w:bCs w:val="false"/>
                <w:i w:val="false"/>
                <w:iCs w:val="false"/>
                <w:sz w:val="19"/>
                <w:szCs w:val="19"/>
              </w:rPr>
              <w:t xml:space="preserve">110</w:t>
            </w:r>
          </w:p>
        </w:tc>
        <w:tc>
          <w:tcPr>
            <w:tcW w:type="dxa" w:w="1200"/>
            <w:tcMar>
              <w:top w:type="dxa" w:w="60"/>
              <w:left w:type="dxa" w:w="100"/>
              <w:bottom w:type="dxa" w:w="60"/>
              <w:right w:type="dxa" w:w="100"/>
            </w:tcMar>
          </w:tcPr>
          <w:p>
            <w:r>
              <w:rPr>
                <w:b w:val="false"/>
                <w:bCs w:val="false"/>
                <w:i w:val="false"/>
                <w:iCs w:val="false"/>
                <w:sz w:val="19"/>
                <w:szCs w:val="19"/>
              </w:rPr>
              <w:t xml:space="preserve">45 %</w:t>
            </w:r>
          </w:p>
        </w:tc>
        <w:tc>
          <w:tcPr>
            <w:tcW w:type="dxa" w:w="1700"/>
            <w:tcMar>
              <w:top w:type="dxa" w:w="60"/>
              <w:left w:type="dxa" w:w="100"/>
              <w:bottom w:type="dxa" w:w="60"/>
              <w:right w:type="dxa" w:w="100"/>
            </w:tcMar>
          </w:tcPr>
          <w:p>
            <w:r>
              <w:rPr>
                <w:b w:val="false"/>
                <w:bCs w:val="false"/>
                <w:i w:val="false"/>
                <w:iCs w:val="false"/>
                <w:sz w:val="19"/>
                <w:szCs w:val="19"/>
              </w:rPr>
              <w:t xml:space="preserve">35 %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900"/>
            <w:tcMar>
              <w:top w:type="dxa" w:w="60"/>
              <w:left w:type="dxa" w:w="100"/>
              <w:bottom w:type="dxa" w:w="60"/>
              <w:right w:type="dxa" w:w="100"/>
            </w:tcMar>
          </w:tcPr>
          <w:p>
            <w:r>
              <w:rPr>
                <w:b w:val="false"/>
                <w:bCs w:val="false"/>
                <w:i w:val="false"/>
                <w:iCs w:val="false"/>
                <w:sz w:val="19"/>
                <w:szCs w:val="19"/>
              </w:rPr>
              <w:t xml:space="preserve">250</w:t>
            </w:r>
          </w:p>
        </w:tc>
        <w:tc>
          <w:tcPr>
            <w:tcW w:type="dxa" w:w="900"/>
            <w:tcMar>
              <w:top w:type="dxa" w:w="60"/>
              <w:left w:type="dxa" w:w="100"/>
              <w:bottom w:type="dxa" w:w="60"/>
              <w:right w:type="dxa" w:w="100"/>
            </w:tcMar>
          </w:tcPr>
          <w:p>
            <w:r>
              <w:rPr>
                <w:b w:val="false"/>
                <w:bCs w:val="false"/>
                <w:i w:val="false"/>
                <w:iCs w:val="false"/>
                <w:sz w:val="19"/>
                <w:szCs w:val="19"/>
              </w:rPr>
              <w:t xml:space="preserve">140</w:t>
            </w:r>
          </w:p>
        </w:tc>
        <w:tc>
          <w:tcPr>
            <w:tcW w:type="dxa" w:w="1200"/>
            <w:tcMar>
              <w:top w:type="dxa" w:w="60"/>
              <w:left w:type="dxa" w:w="100"/>
              <w:bottom w:type="dxa" w:w="60"/>
              <w:right w:type="dxa" w:w="100"/>
            </w:tcMar>
          </w:tcPr>
          <w:p>
            <w:r>
              <w:rPr>
                <w:b w:val="false"/>
                <w:bCs w:val="false"/>
                <w:i w:val="false"/>
                <w:iCs w:val="false"/>
                <w:sz w:val="19"/>
                <w:szCs w:val="19"/>
              </w:rPr>
              <w:t xml:space="preserve">56 %</w:t>
            </w:r>
          </w:p>
        </w:tc>
        <w:tc>
          <w:tcPr>
            <w:tcW w:type="dxa" w:w="1700"/>
            <w:tcMar>
              <w:top w:type="dxa" w:w="60"/>
              <w:left w:type="dxa" w:w="100"/>
              <w:bottom w:type="dxa" w:w="60"/>
              <w:right w:type="dxa" w:w="100"/>
            </w:tcMar>
          </w:tcPr>
          <w:p>
            <w:r>
              <w:rPr>
                <w:b w:val="false"/>
                <w:bCs w:val="false"/>
                <w:i w:val="false"/>
                <w:iCs w:val="false"/>
                <w:sz w:val="19"/>
                <w:szCs w:val="19"/>
              </w:rPr>
              <w:t xml:space="preserve">42 %</w:t>
            </w:r>
          </w:p>
        </w:tc>
        <w:tc>
          <w:tcPr>
            <w:tcW w:type="dxa" w:w="1900"/>
            <w:tcMar>
              <w:top w:type="dxa" w:w="60"/>
              <w:left w:type="dxa" w:w="100"/>
              <w:bottom w:type="dxa" w:w="60"/>
              <w:right w:type="dxa" w:w="100"/>
            </w:tcMar>
          </w:tcPr>
          <w:p>
            <w:r>
              <w:rPr>
                <w:b w:val="false"/>
                <w:bCs w:val="false"/>
                <w:i w:val="false"/>
                <w:iCs w:val="false"/>
                <w:sz w:val="19"/>
                <w:szCs w:val="19"/>
              </w:rPr>
              <w:t xml:space="preserve">12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900"/>
            <w:tcMar>
              <w:top w:type="dxa" w:w="60"/>
              <w:left w:type="dxa" w:w="100"/>
              <w:bottom w:type="dxa" w:w="60"/>
              <w:right w:type="dxa" w:w="100"/>
            </w:tcMar>
          </w:tcPr>
          <w:p>
            <w:r>
              <w:rPr>
                <w:b w:val="false"/>
                <w:bCs w:val="false"/>
                <w:i w:val="false"/>
                <w:iCs w:val="false"/>
                <w:sz w:val="19"/>
                <w:szCs w:val="19"/>
              </w:rPr>
              <w:t xml:space="preserve">85</w:t>
            </w:r>
          </w:p>
        </w:tc>
        <w:tc>
          <w:tcPr>
            <w:tcW w:type="dxa" w:w="900"/>
            <w:tcMar>
              <w:top w:type="dxa" w:w="60"/>
              <w:left w:type="dxa" w:w="100"/>
              <w:bottom w:type="dxa" w:w="60"/>
              <w:right w:type="dxa" w:w="100"/>
            </w:tcMar>
          </w:tcPr>
          <w:p>
            <w:r>
              <w:rPr>
                <w:b w:val="false"/>
                <w:bCs w:val="false"/>
                <w:i w:val="false"/>
                <w:iCs w:val="false"/>
                <w:sz w:val="19"/>
                <w:szCs w:val="19"/>
              </w:rPr>
              <w:t xml:space="preserve">31</w:t>
            </w:r>
          </w:p>
        </w:tc>
        <w:tc>
          <w:tcPr>
            <w:tcW w:type="dxa" w:w="1200"/>
            <w:tcMar>
              <w:top w:type="dxa" w:w="60"/>
              <w:left w:type="dxa" w:w="100"/>
              <w:bottom w:type="dxa" w:w="60"/>
              <w:right w:type="dxa" w:w="100"/>
            </w:tcMar>
          </w:tcPr>
          <w:p>
            <w:r>
              <w:rPr>
                <w:b w:val="false"/>
                <w:bCs w:val="false"/>
                <w:i w:val="false"/>
                <w:iCs w:val="false"/>
                <w:sz w:val="19"/>
                <w:szCs w:val="19"/>
              </w:rPr>
              <w:t xml:space="preserve">36 %</w:t>
            </w:r>
          </w:p>
        </w:tc>
        <w:tc>
          <w:tcPr>
            <w:tcW w:type="dxa" w:w="1700"/>
            <w:tcMar>
              <w:top w:type="dxa" w:w="60"/>
              <w:left w:type="dxa" w:w="100"/>
              <w:bottom w:type="dxa" w:w="60"/>
              <w:right w:type="dxa" w:w="100"/>
            </w:tcMar>
          </w:tcPr>
          <w:p>
            <w:r>
              <w:rPr>
                <w:b w:val="false"/>
                <w:bCs w:val="false"/>
                <w:i w:val="false"/>
                <w:iCs w:val="false"/>
                <w:sz w:val="19"/>
                <w:szCs w:val="19"/>
              </w:rPr>
              <w:t xml:space="preserve">33 %</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900"/>
            <w:tcMar>
              <w:top w:type="dxa" w:w="60"/>
              <w:left w:type="dxa" w:w="100"/>
              <w:bottom w:type="dxa" w:w="60"/>
              <w:right w:type="dxa" w:w="100"/>
            </w:tcMar>
          </w:tcPr>
          <w:p>
            <w:r>
              <w:rPr>
                <w:b w:val="false"/>
                <w:bCs w:val="false"/>
                <w:i w:val="false"/>
                <w:iCs w:val="false"/>
                <w:sz w:val="19"/>
                <w:szCs w:val="19"/>
              </w:rPr>
              <w:t xml:space="preserve">300</w:t>
            </w:r>
          </w:p>
        </w:tc>
        <w:tc>
          <w:tcPr>
            <w:tcW w:type="dxa" w:w="900"/>
            <w:tcMar>
              <w:top w:type="dxa" w:w="60"/>
              <w:left w:type="dxa" w:w="100"/>
              <w:bottom w:type="dxa" w:w="60"/>
              <w:right w:type="dxa" w:w="100"/>
            </w:tcMar>
          </w:tcPr>
          <w:p>
            <w:r>
              <w:rPr>
                <w:b w:val="false"/>
                <w:bCs w:val="false"/>
                <w:i w:val="false"/>
                <w:iCs w:val="false"/>
                <w:sz w:val="19"/>
                <w:szCs w:val="19"/>
              </w:rPr>
              <w:t xml:space="preserve">96</w:t>
            </w:r>
          </w:p>
        </w:tc>
        <w:tc>
          <w:tcPr>
            <w:tcW w:type="dxa" w:w="1200"/>
            <w:tcMar>
              <w:top w:type="dxa" w:w="60"/>
              <w:left w:type="dxa" w:w="100"/>
              <w:bottom w:type="dxa" w:w="60"/>
              <w:right w:type="dxa" w:w="100"/>
            </w:tcMar>
          </w:tcPr>
          <w:p>
            <w:r>
              <w:rPr>
                <w:b w:val="false"/>
                <w:bCs w:val="false"/>
                <w:i w:val="false"/>
                <w:iCs w:val="false"/>
                <w:sz w:val="19"/>
                <w:szCs w:val="19"/>
              </w:rPr>
              <w:t xml:space="preserve">32 %</w:t>
            </w:r>
          </w:p>
        </w:tc>
        <w:tc>
          <w:tcPr>
            <w:tcW w:type="dxa" w:w="1700"/>
            <w:tcMar>
              <w:top w:type="dxa" w:w="60"/>
              <w:left w:type="dxa" w:w="100"/>
              <w:bottom w:type="dxa" w:w="60"/>
              <w:right w:type="dxa" w:w="100"/>
            </w:tcMar>
          </w:tcPr>
          <w:p>
            <w:r>
              <w:rPr>
                <w:b w:val="false"/>
                <w:bCs w:val="false"/>
                <w:i w:val="false"/>
                <w:iCs w:val="false"/>
                <w:sz w:val="19"/>
                <w:szCs w:val="19"/>
              </w:rPr>
              <w:t xml:space="preserve">29 %</w:t>
            </w:r>
          </w:p>
        </w:tc>
        <w:tc>
          <w:tcPr>
            <w:tcW w:type="dxa" w:w="1900"/>
            <w:tcMar>
              <w:top w:type="dxa" w:w="60"/>
              <w:left w:type="dxa" w:w="100"/>
              <w:bottom w:type="dxa" w:w="60"/>
              <w:right w:type="dxa" w:w="100"/>
            </w:tcMar>
          </w:tcPr>
          <w:p>
            <w:r>
              <w:rPr>
                <w:b w:val="false"/>
                <w:bCs w:val="false"/>
                <w:i w:val="false"/>
                <w:iCs w:val="false"/>
                <w:sz w:val="19"/>
                <w:szCs w:val="19"/>
              </w:rPr>
              <w:t xml:space="preserve">10</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900"/>
            <w:tcMar>
              <w:top w:type="dxa" w:w="60"/>
              <w:left w:type="dxa" w:w="100"/>
              <w:bottom w:type="dxa" w:w="60"/>
              <w:right w:type="dxa" w:w="100"/>
            </w:tcMar>
          </w:tcPr>
          <w:p>
            <w:r>
              <w:rPr>
                <w:b w:val="false"/>
                <w:bCs w:val="false"/>
                <w:i w:val="false"/>
                <w:iCs w:val="false"/>
                <w:sz w:val="19"/>
                <w:szCs w:val="19"/>
              </w:rPr>
              <w:t xml:space="preserve">275</w:t>
            </w:r>
          </w:p>
        </w:tc>
        <w:tc>
          <w:tcPr>
            <w:tcW w:type="dxa" w:w="900"/>
            <w:tcMar>
              <w:top w:type="dxa" w:w="60"/>
              <w:left w:type="dxa" w:w="100"/>
              <w:bottom w:type="dxa" w:w="60"/>
              <w:right w:type="dxa" w:w="100"/>
            </w:tcMar>
          </w:tcPr>
          <w:p>
            <w:r>
              <w:rPr>
                <w:b w:val="false"/>
                <w:bCs w:val="false"/>
                <w:i w:val="false"/>
                <w:iCs w:val="false"/>
                <w:sz w:val="19"/>
                <w:szCs w:val="19"/>
              </w:rPr>
              <w:t xml:space="preserve">118</w:t>
            </w:r>
          </w:p>
        </w:tc>
        <w:tc>
          <w:tcPr>
            <w:tcW w:type="dxa" w:w="1200"/>
            <w:tcMar>
              <w:top w:type="dxa" w:w="60"/>
              <w:left w:type="dxa" w:w="100"/>
              <w:bottom w:type="dxa" w:w="60"/>
              <w:right w:type="dxa" w:w="100"/>
            </w:tcMar>
          </w:tcPr>
          <w:p>
            <w:r>
              <w:rPr>
                <w:b w:val="false"/>
                <w:bCs w:val="false"/>
                <w:i w:val="false"/>
                <w:iCs w:val="false"/>
                <w:sz w:val="19"/>
                <w:szCs w:val="19"/>
              </w:rPr>
              <w:t xml:space="preserve">43 %</w:t>
            </w:r>
          </w:p>
        </w:tc>
        <w:tc>
          <w:tcPr>
            <w:tcW w:type="dxa" w:w="1700"/>
            <w:tcMar>
              <w:top w:type="dxa" w:w="60"/>
              <w:left w:type="dxa" w:w="100"/>
              <w:bottom w:type="dxa" w:w="60"/>
              <w:right w:type="dxa" w:w="100"/>
            </w:tcMar>
          </w:tcPr>
          <w:p>
            <w:r>
              <w:rPr>
                <w:b w:val="false"/>
                <w:bCs w:val="false"/>
                <w:i w:val="false"/>
                <w:iCs w:val="false"/>
                <w:sz w:val="19"/>
                <w:szCs w:val="19"/>
              </w:rPr>
              <w:t xml:space="preserve">30 %</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900"/>
            <w:tcMar>
              <w:top w:type="dxa" w:w="60"/>
              <w:left w:type="dxa" w:w="100"/>
              <w:bottom w:type="dxa" w:w="60"/>
              <w:right w:type="dxa" w:w="100"/>
            </w:tcMar>
          </w:tcPr>
          <w:p>
            <w:r>
              <w:rPr>
                <w:b w:val="false"/>
                <w:bCs w:val="false"/>
                <w:i w:val="false"/>
                <w:iCs w:val="false"/>
                <w:sz w:val="19"/>
                <w:szCs w:val="19"/>
              </w:rPr>
              <w:t xml:space="preserve">225</w:t>
            </w:r>
          </w:p>
        </w:tc>
        <w:tc>
          <w:tcPr>
            <w:tcW w:type="dxa" w:w="900"/>
            <w:tcMar>
              <w:top w:type="dxa" w:w="60"/>
              <w:left w:type="dxa" w:w="100"/>
              <w:bottom w:type="dxa" w:w="60"/>
              <w:right w:type="dxa" w:w="100"/>
            </w:tcMar>
          </w:tcPr>
          <w:p>
            <w:r>
              <w:rPr>
                <w:b w:val="false"/>
                <w:bCs w:val="false"/>
                <w:i w:val="false"/>
                <w:iCs w:val="false"/>
                <w:sz w:val="19"/>
                <w:szCs w:val="19"/>
              </w:rPr>
              <w:t xml:space="preserve">133</w:t>
            </w:r>
          </w:p>
        </w:tc>
        <w:tc>
          <w:tcPr>
            <w:tcW w:type="dxa" w:w="1200"/>
            <w:tcMar>
              <w:top w:type="dxa" w:w="60"/>
              <w:left w:type="dxa" w:w="100"/>
              <w:bottom w:type="dxa" w:w="60"/>
              <w:right w:type="dxa" w:w="100"/>
            </w:tcMar>
          </w:tcPr>
          <w:p>
            <w:r>
              <w:rPr>
                <w:b w:val="false"/>
                <w:bCs w:val="false"/>
                <w:i w:val="false"/>
                <w:iCs w:val="false"/>
                <w:sz w:val="19"/>
                <w:szCs w:val="19"/>
              </w:rPr>
              <w:t xml:space="preserve">59 %</w:t>
            </w:r>
          </w:p>
        </w:tc>
        <w:tc>
          <w:tcPr>
            <w:tcW w:type="dxa" w:w="1700"/>
            <w:tcMar>
              <w:top w:type="dxa" w:w="60"/>
              <w:left w:type="dxa" w:w="100"/>
              <w:bottom w:type="dxa" w:w="60"/>
              <w:right w:type="dxa" w:w="100"/>
            </w:tcMar>
          </w:tcPr>
          <w:p>
            <w:r>
              <w:rPr>
                <w:b w:val="false"/>
                <w:bCs w:val="false"/>
                <w:i w:val="false"/>
                <w:iCs w:val="false"/>
                <w:sz w:val="19"/>
                <w:szCs w:val="19"/>
              </w:rPr>
              <w:t xml:space="preserve">45 %</w:t>
            </w:r>
          </w:p>
        </w:tc>
        <w:tc>
          <w:tcPr>
            <w:tcW w:type="dxa" w:w="1900"/>
            <w:tcMar>
              <w:top w:type="dxa" w:w="60"/>
              <w:left w:type="dxa" w:w="100"/>
              <w:bottom w:type="dxa" w:w="60"/>
              <w:right w:type="dxa" w:w="100"/>
            </w:tcMar>
          </w:tcPr>
          <w:p>
            <w:r>
              <w:rPr>
                <w:b w:val="false"/>
                <w:bCs w:val="false"/>
                <w:i w:val="false"/>
                <w:iCs w:val="false"/>
                <w:sz w:val="19"/>
                <w:szCs w:val="19"/>
              </w:rPr>
              <w:t xml:space="preserve">11</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900"/>
            <w:tcMar>
              <w:top w:type="dxa" w:w="60"/>
              <w:left w:type="dxa" w:w="100"/>
              <w:bottom w:type="dxa" w:w="60"/>
              <w:right w:type="dxa" w:w="100"/>
            </w:tcMar>
          </w:tcPr>
          <w:p>
            <w:r>
              <w:rPr>
                <w:b w:val="false"/>
                <w:bCs w:val="false"/>
                <w:i w:val="false"/>
                <w:iCs w:val="false"/>
                <w:sz w:val="19"/>
                <w:szCs w:val="19"/>
              </w:rPr>
              <w:t xml:space="preserve">410</w:t>
            </w:r>
          </w:p>
        </w:tc>
        <w:tc>
          <w:tcPr>
            <w:tcW w:type="dxa" w:w="900"/>
            <w:tcMar>
              <w:top w:type="dxa" w:w="60"/>
              <w:left w:type="dxa" w:w="100"/>
              <w:bottom w:type="dxa" w:w="60"/>
              <w:right w:type="dxa" w:w="100"/>
            </w:tcMar>
          </w:tcPr>
          <w:p>
            <w:r>
              <w:rPr>
                <w:b w:val="false"/>
                <w:bCs w:val="false"/>
                <w:i w:val="false"/>
                <w:iCs w:val="false"/>
                <w:sz w:val="19"/>
                <w:szCs w:val="19"/>
              </w:rPr>
              <w:t xml:space="preserve">361</w:t>
            </w:r>
          </w:p>
        </w:tc>
        <w:tc>
          <w:tcPr>
            <w:tcW w:type="dxa" w:w="1200"/>
            <w:tcMar>
              <w:top w:type="dxa" w:w="60"/>
              <w:left w:type="dxa" w:w="100"/>
              <w:bottom w:type="dxa" w:w="60"/>
              <w:right w:type="dxa" w:w="100"/>
            </w:tcMar>
          </w:tcPr>
          <w:p>
            <w:r>
              <w:rPr>
                <w:b w:val="false"/>
                <w:bCs w:val="false"/>
                <w:i w:val="false"/>
                <w:iCs w:val="false"/>
                <w:sz w:val="19"/>
                <w:szCs w:val="19"/>
              </w:rPr>
              <w:t xml:space="preserve">88 %</w:t>
            </w:r>
          </w:p>
        </w:tc>
        <w:tc>
          <w:tcPr>
            <w:tcW w:type="dxa" w:w="1700"/>
            <w:tcMar>
              <w:top w:type="dxa" w:w="60"/>
              <w:left w:type="dxa" w:w="100"/>
              <w:bottom w:type="dxa" w:w="60"/>
              <w:right w:type="dxa" w:w="100"/>
            </w:tcMar>
          </w:tcPr>
          <w:p>
            <w:r>
              <w:rPr>
                <w:b w:val="false"/>
                <w:bCs w:val="false"/>
                <w:i w:val="false"/>
                <w:iCs w:val="false"/>
                <w:sz w:val="19"/>
                <w:szCs w:val="19"/>
              </w:rPr>
              <w:t xml:space="preserve">41 %</w:t>
            </w:r>
          </w:p>
        </w:tc>
        <w:tc>
          <w:tcPr>
            <w:tcW w:type="dxa" w:w="1900"/>
            <w:tcMar>
              <w:top w:type="dxa" w:w="60"/>
              <w:left w:type="dxa" w:w="100"/>
              <w:bottom w:type="dxa" w:w="60"/>
              <w:right w:type="dxa" w:w="100"/>
            </w:tcMar>
          </w:tcPr>
          <w:p>
            <w:r>
              <w:rPr>
                <w:b w:val="false"/>
                <w:bCs w:val="false"/>
                <w:i w:val="false"/>
                <w:iCs w:val="false"/>
                <w:sz w:val="19"/>
                <w:szCs w:val="19"/>
              </w:rPr>
              <w:t xml:space="preserve">14</w:t>
            </w:r>
          </w:p>
        </w:tc>
        <w:tc>
          <w:tcPr>
            <w:tcW w:type="dxa" w:w="1526"/>
            <w:tcMar>
              <w:top w:type="dxa" w:w="60"/>
              <w:left w:type="dxa" w:w="100"/>
              <w:bottom w:type="dxa" w:w="60"/>
              <w:right w:type="dxa" w:w="100"/>
            </w:tcMar>
          </w:tcPr>
          <w:p>
            <w:r>
              <w:rPr>
                <w:b w:val="false"/>
                <w:bCs w:val="false"/>
                <w:i w:val="false"/>
                <w:iCs w:val="false"/>
                <w:sz w:val="19"/>
                <w:szCs w:val="19"/>
              </w:rPr>
              <w:t xml:space="preserve">3</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900"/>
            <w:tcMar>
              <w:top w:type="dxa" w:w="60"/>
              <w:left w:type="dxa" w:w="100"/>
              <w:bottom w:type="dxa" w:w="60"/>
              <w:right w:type="dxa" w:w="100"/>
            </w:tcMar>
          </w:tcPr>
          <w:p>
            <w:r>
              <w:rPr>
                <w:b w:val="false"/>
                <w:bCs w:val="false"/>
                <w:i w:val="false"/>
                <w:iCs w:val="false"/>
                <w:sz w:val="19"/>
                <w:szCs w:val="19"/>
              </w:rPr>
              <w:t xml:space="preserve">215</w:t>
            </w:r>
          </w:p>
        </w:tc>
        <w:tc>
          <w:tcPr>
            <w:tcW w:type="dxa" w:w="900"/>
            <w:tcMar>
              <w:top w:type="dxa" w:w="60"/>
              <w:left w:type="dxa" w:w="100"/>
              <w:bottom w:type="dxa" w:w="60"/>
              <w:right w:type="dxa" w:w="100"/>
            </w:tcMar>
          </w:tcPr>
          <w:p>
            <w:r>
              <w:rPr>
                <w:b w:val="false"/>
                <w:bCs w:val="false"/>
                <w:i w:val="false"/>
                <w:iCs w:val="false"/>
                <w:sz w:val="19"/>
                <w:szCs w:val="19"/>
              </w:rPr>
              <w:t xml:space="preserve">116</w:t>
            </w:r>
          </w:p>
        </w:tc>
        <w:tc>
          <w:tcPr>
            <w:tcW w:type="dxa" w:w="1200"/>
            <w:tcMar>
              <w:top w:type="dxa" w:w="60"/>
              <w:left w:type="dxa" w:w="100"/>
              <w:bottom w:type="dxa" w:w="60"/>
              <w:right w:type="dxa" w:w="100"/>
            </w:tcMar>
          </w:tcPr>
          <w:p>
            <w:r>
              <w:rPr>
                <w:b w:val="false"/>
                <w:bCs w:val="false"/>
                <w:i w:val="false"/>
                <w:iCs w:val="false"/>
                <w:sz w:val="19"/>
                <w:szCs w:val="19"/>
              </w:rPr>
              <w:t xml:space="preserve">54 %</w:t>
            </w:r>
          </w:p>
        </w:tc>
        <w:tc>
          <w:tcPr>
            <w:tcW w:type="dxa" w:w="1700"/>
            <w:tcMar>
              <w:top w:type="dxa" w:w="60"/>
              <w:left w:type="dxa" w:w="100"/>
              <w:bottom w:type="dxa" w:w="60"/>
              <w:right w:type="dxa" w:w="100"/>
            </w:tcMar>
          </w:tcPr>
          <w:p>
            <w:r>
              <w:rPr>
                <w:b w:val="false"/>
                <w:bCs w:val="false"/>
                <w:i w:val="false"/>
                <w:iCs w:val="false"/>
                <w:sz w:val="19"/>
                <w:szCs w:val="19"/>
              </w:rPr>
              <w:t xml:space="preserve">40 %</w:t>
            </w:r>
          </w:p>
        </w:tc>
        <w:tc>
          <w:tcPr>
            <w:tcW w:type="dxa" w:w="1900"/>
            <w:tcMar>
              <w:top w:type="dxa" w:w="60"/>
              <w:left w:type="dxa" w:w="100"/>
              <w:bottom w:type="dxa" w:w="60"/>
              <w:right w:type="dxa" w:w="100"/>
            </w:tcMar>
          </w:tcPr>
          <w:p>
            <w:r>
              <w:rPr>
                <w:b w:val="false"/>
                <w:bCs w:val="false"/>
                <w:i w:val="false"/>
                <w:iCs w:val="false"/>
                <w:sz w:val="19"/>
                <w:szCs w:val="19"/>
              </w:rPr>
              <w:t xml:space="preserve">9</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900"/>
            <w:tcMar>
              <w:top w:type="dxa" w:w="60"/>
              <w:left w:type="dxa" w:w="100"/>
              <w:bottom w:type="dxa" w:w="60"/>
              <w:right w:type="dxa" w:w="100"/>
            </w:tcMar>
          </w:tcPr>
          <w:p>
            <w:r>
              <w:rPr>
                <w:b w:val="false"/>
                <w:bCs w:val="false"/>
                <w:i w:val="false"/>
                <w:iCs w:val="false"/>
                <w:sz w:val="19"/>
                <w:szCs w:val="19"/>
              </w:rPr>
              <w:t xml:space="preserve">200</w:t>
            </w:r>
          </w:p>
        </w:tc>
        <w:tc>
          <w:tcPr>
            <w:tcW w:type="dxa" w:w="900"/>
            <w:tcMar>
              <w:top w:type="dxa" w:w="60"/>
              <w:left w:type="dxa" w:w="100"/>
              <w:bottom w:type="dxa" w:w="60"/>
              <w:right w:type="dxa" w:w="100"/>
            </w:tcMar>
          </w:tcPr>
          <w:p>
            <w:r>
              <w:rPr>
                <w:b w:val="false"/>
                <w:bCs w:val="false"/>
                <w:i w:val="false"/>
                <w:iCs w:val="false"/>
                <w:sz w:val="19"/>
                <w:szCs w:val="19"/>
              </w:rPr>
              <w:t xml:space="preserve">92</w:t>
            </w:r>
          </w:p>
        </w:tc>
        <w:tc>
          <w:tcPr>
            <w:tcW w:type="dxa" w:w="1200"/>
            <w:tcMar>
              <w:top w:type="dxa" w:w="60"/>
              <w:left w:type="dxa" w:w="100"/>
              <w:bottom w:type="dxa" w:w="60"/>
              <w:right w:type="dxa" w:w="100"/>
            </w:tcMar>
          </w:tcPr>
          <w:p>
            <w:r>
              <w:rPr>
                <w:b w:val="false"/>
                <w:bCs w:val="false"/>
                <w:i w:val="false"/>
                <w:iCs w:val="false"/>
                <w:sz w:val="19"/>
                <w:szCs w:val="19"/>
              </w:rPr>
              <w:t xml:space="preserve">46 %</w:t>
            </w:r>
          </w:p>
        </w:tc>
        <w:tc>
          <w:tcPr>
            <w:tcW w:type="dxa" w:w="1700"/>
            <w:tcMar>
              <w:top w:type="dxa" w:w="60"/>
              <w:left w:type="dxa" w:w="100"/>
              <w:bottom w:type="dxa" w:w="60"/>
              <w:right w:type="dxa" w:w="100"/>
            </w:tcMar>
          </w:tcPr>
          <w:p>
            <w:r>
              <w:rPr>
                <w:b w:val="false"/>
                <w:bCs w:val="false"/>
                <w:i w:val="false"/>
                <w:iCs w:val="false"/>
                <w:sz w:val="19"/>
                <w:szCs w:val="19"/>
              </w:rPr>
              <w:t xml:space="preserve">34 %</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900"/>
            <w:tcMar>
              <w:top w:type="dxa" w:w="60"/>
              <w:left w:type="dxa" w:w="100"/>
              <w:bottom w:type="dxa" w:w="60"/>
              <w:right w:type="dxa" w:w="100"/>
            </w:tcMar>
          </w:tcPr>
          <w:p>
            <w:r>
              <w:rPr>
                <w:b w:val="false"/>
                <w:bCs w:val="false"/>
                <w:i w:val="false"/>
                <w:iCs w:val="false"/>
                <w:sz w:val="19"/>
                <w:szCs w:val="19"/>
              </w:rPr>
              <w:t xml:space="preserve">190</w:t>
            </w:r>
          </w:p>
        </w:tc>
        <w:tc>
          <w:tcPr>
            <w:tcW w:type="dxa" w:w="900"/>
            <w:tcMar>
              <w:top w:type="dxa" w:w="60"/>
              <w:left w:type="dxa" w:w="100"/>
              <w:bottom w:type="dxa" w:w="60"/>
              <w:right w:type="dxa" w:w="100"/>
            </w:tcMar>
          </w:tcPr>
          <w:p>
            <w:r>
              <w:rPr>
                <w:b w:val="false"/>
                <w:bCs w:val="false"/>
                <w:i w:val="false"/>
                <w:iCs w:val="false"/>
                <w:sz w:val="19"/>
                <w:szCs w:val="19"/>
              </w:rPr>
              <w:t xml:space="preserve">101</w:t>
            </w:r>
          </w:p>
        </w:tc>
        <w:tc>
          <w:tcPr>
            <w:tcW w:type="dxa" w:w="1200"/>
            <w:tcMar>
              <w:top w:type="dxa" w:w="60"/>
              <w:left w:type="dxa" w:w="100"/>
              <w:bottom w:type="dxa" w:w="60"/>
              <w:right w:type="dxa" w:w="100"/>
            </w:tcMar>
          </w:tcPr>
          <w:p>
            <w:r>
              <w:rPr>
                <w:b w:val="false"/>
                <w:bCs w:val="false"/>
                <w:i w:val="false"/>
                <w:iCs w:val="false"/>
                <w:sz w:val="19"/>
                <w:szCs w:val="19"/>
              </w:rPr>
              <w:t xml:space="preserve">53 %</w:t>
            </w:r>
          </w:p>
        </w:tc>
        <w:tc>
          <w:tcPr>
            <w:tcW w:type="dxa" w:w="1700"/>
            <w:tcMar>
              <w:top w:type="dxa" w:w="60"/>
              <w:left w:type="dxa" w:w="100"/>
              <w:bottom w:type="dxa" w:w="60"/>
              <w:right w:type="dxa" w:w="100"/>
            </w:tcMar>
          </w:tcPr>
          <w:p>
            <w:r>
              <w:rPr>
                <w:b w:val="false"/>
                <w:bCs w:val="false"/>
                <w:i w:val="false"/>
                <w:iCs w:val="false"/>
                <w:sz w:val="19"/>
                <w:szCs w:val="19"/>
              </w:rPr>
              <w:t xml:space="preserve">36 %</w:t>
            </w:r>
          </w:p>
        </w:tc>
        <w:tc>
          <w:tcPr>
            <w:tcW w:type="dxa" w:w="1900"/>
            <w:tcMar>
              <w:top w:type="dxa" w:w="60"/>
              <w:left w:type="dxa" w:w="100"/>
              <w:bottom w:type="dxa" w:w="60"/>
              <w:right w:type="dxa" w:w="100"/>
            </w:tcMar>
          </w:tcPr>
          <w:p>
            <w:r>
              <w:rPr>
                <w:b w:val="false"/>
                <w:bCs w:val="false"/>
                <w:i w:val="false"/>
                <w:iCs w:val="false"/>
                <w:sz w:val="19"/>
                <w:szCs w:val="19"/>
              </w:rPr>
              <w:t xml:space="preserve">8</w:t>
            </w:r>
          </w:p>
        </w:tc>
        <w:tc>
          <w:tcPr>
            <w:tcW w:type="dxa" w:w="1526"/>
            <w:tcMar>
              <w:top w:type="dxa" w:w="60"/>
              <w:left w:type="dxa" w:w="100"/>
              <w:bottom w:type="dxa" w:w="60"/>
              <w:right w:type="dxa" w:w="100"/>
            </w:tcMar>
          </w:tcPr>
          <w:p>
            <w:r>
              <w:rPr>
                <w:b w:val="false"/>
                <w:bCs w:val="false"/>
                <w:i w:val="false"/>
                <w:iCs w:val="false"/>
                <w:sz w:val="19"/>
                <w:szCs w:val="19"/>
              </w:rPr>
              <w:t xml:space="preserve">2</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1900"/>
        <w:gridCol w:w="1700"/>
        <w:gridCol w:w="1226"/>
      </w:tblGrid>
      <w:tr>
        <w:trPr>
          <w:tblHeader/>
        </w:trPr>
        <w:tc>
          <w:tcPr>
            <w:tcW w:type="dxa" w:w="9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3300"/>
            <w:shd w:fill="E8EDF2" w:color="auto" w:val="clear"/>
            <w:tcMar>
              <w:top w:type="dxa" w:w="60"/>
              <w:left w:type="dxa" w:w="100"/>
              <w:bottom w:type="dxa" w:w="60"/>
              <w:right w:type="dxa" w:w="100"/>
            </w:tcMar>
          </w:tcPr>
          <w:p>
            <w:r>
              <w:rPr>
                <w:b/>
                <w:bCs/>
                <w:i w:val="false"/>
                <w:iCs w:val="false"/>
                <w:sz w:val="19"/>
                <w:szCs w:val="19"/>
              </w:rPr>
              <w:t xml:space="preserve">Dépistages glycémiques en CPN</w:t>
            </w:r>
          </w:p>
        </w:tc>
        <w:tc>
          <w:tcPr>
            <w:tcW w:type="dxa" w:w="1900"/>
            <w:shd w:fill="E8EDF2" w:color="auto" w:val="clear"/>
            <w:tcMar>
              <w:top w:type="dxa" w:w="60"/>
              <w:left w:type="dxa" w:w="100"/>
              <w:bottom w:type="dxa" w:w="60"/>
              <w:right w:type="dxa" w:w="100"/>
            </w:tcMar>
          </w:tcPr>
          <w:p>
            <w:r>
              <w:rPr>
                <w:b/>
                <w:bCs/>
                <w:i w:val="false"/>
                <w:iCs w:val="false"/>
                <w:sz w:val="19"/>
                <w:szCs w:val="19"/>
              </w:rPr>
              <w:t xml:space="preserve">Ruptures de bandelettes (mois)</w:t>
            </w:r>
          </w:p>
        </w:tc>
        <w:tc>
          <w:tcPr>
            <w:tcW w:type="dxa" w:w="1700"/>
            <w:shd w:fill="E8EDF2" w:color="auto" w:val="clear"/>
            <w:tcMar>
              <w:top w:type="dxa" w:w="60"/>
              <w:left w:type="dxa" w:w="100"/>
              <w:bottom w:type="dxa" w:w="60"/>
              <w:right w:type="dxa" w:w="100"/>
            </w:tcMar>
          </w:tcPr>
          <w:p>
            <w:r>
              <w:rPr>
                <w:b/>
                <w:bCs/>
                <w:i w:val="false"/>
                <w:iCs w:val="false"/>
                <w:sz w:val="19"/>
                <w:szCs w:val="19"/>
              </w:rPr>
              <w:t xml:space="preserve">Secteur : pauvreté</w:t>
            </w:r>
          </w:p>
        </w:tc>
        <w:tc>
          <w:tcPr>
            <w:tcW w:type="dxa" w:w="1226"/>
            <w:shd w:fill="E8EDF2" w:color="auto" w:val="clear"/>
            <w:tcMar>
              <w:top w:type="dxa" w:w="60"/>
              <w:left w:type="dxa" w:w="100"/>
              <w:bottom w:type="dxa" w:w="60"/>
              <w:right w:type="dxa" w:w="100"/>
            </w:tcMar>
          </w:tcPr>
          <w:p>
            <w:r>
              <w:rPr>
                <w:b/>
                <w:bCs/>
                <w:i w:val="false"/>
                <w:iCs w:val="false"/>
                <w:sz w:val="19"/>
                <w:szCs w:val="19"/>
              </w:rPr>
              <w:t xml:space="preserve">Taux fictif</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CS01</w:t>
            </w:r>
          </w:p>
        </w:tc>
        <w:tc>
          <w:tcPr>
            <w:tcW w:type="dxa" w:w="3300"/>
            <w:tcMar>
              <w:top w:type="dxa" w:w="60"/>
              <w:left w:type="dxa" w:w="100"/>
              <w:bottom w:type="dxa" w:w="60"/>
              <w:right w:type="dxa" w:w="100"/>
            </w:tcMar>
          </w:tcPr>
          <w:p>
            <w:r>
              <w:rPr>
                <w:b w:val="false"/>
                <w:bCs w:val="false"/>
                <w:i w:val="false"/>
                <w:iCs w:val="false"/>
                <w:sz w:val="19"/>
                <w:szCs w:val="19"/>
              </w:rPr>
              <w:t xml:space="preserve">156 (suivi dans le rapport interne du centre)</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CS02</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5</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CS03</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CS04</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37 %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CS05</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3</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CS06</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6</w:t>
            </w:r>
          </w:p>
        </w:tc>
        <w:tc>
          <w:tcPr>
            <w:tcW w:type="dxa" w:w="1700"/>
            <w:tcMar>
              <w:top w:type="dxa" w:w="60"/>
              <w:left w:type="dxa" w:w="100"/>
              <w:bottom w:type="dxa" w:w="60"/>
              <w:right w:type="dxa" w:w="100"/>
            </w:tcMar>
          </w:tcPr>
          <w:p>
            <w:r>
              <w:rPr>
                <w:b w:val="false"/>
                <w:bCs w:val="false"/>
                <w:i w:val="false"/>
                <w:iCs w:val="false"/>
                <w:sz w:val="19"/>
                <w:szCs w:val="19"/>
              </w:rPr>
              <w:t xml:space="preserve">plus faible</w:t>
            </w:r>
          </w:p>
        </w:tc>
        <w:tc>
          <w:tcPr>
            <w:tcW w:type="dxa" w:w="1226"/>
            <w:tcMar>
              <w:top w:type="dxa" w:w="60"/>
              <w:left w:type="dxa" w:w="100"/>
              <w:bottom w:type="dxa" w:w="60"/>
              <w:right w:type="dxa" w:w="100"/>
            </w:tcMar>
          </w:tcPr>
          <w:p>
            <w:r>
              <w:rPr>
                <w:b w:val="false"/>
                <w:bCs w:val="false"/>
                <w:i w:val="false"/>
                <w:iCs w:val="false"/>
                <w:sz w:val="19"/>
                <w:szCs w:val="19"/>
              </w:rPr>
              <w:t xml:space="preserve">19 %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CS07</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41 %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CS08</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38 %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CS09</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non livré)</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46 %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CS10</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1</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35 %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CS11</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43 %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CS12</w:t>
            </w:r>
          </w:p>
        </w:tc>
        <w:tc>
          <w:tcPr>
            <w:tcW w:type="dxa" w:w="3300"/>
            <w:tcMar>
              <w:top w:type="dxa" w:w="60"/>
              <w:left w:type="dxa" w:w="100"/>
              <w:bottom w:type="dxa" w:w="60"/>
              <w:right w:type="dxa" w:w="100"/>
            </w:tcMar>
          </w:tcPr>
          <w:p>
            <w:r>
              <w:rPr>
                <w:b w:val="false"/>
                <w:bCs w:val="false"/>
                <w:i w:val="false"/>
                <w:iCs w:val="false"/>
                <w:sz w:val="19"/>
                <w:szCs w:val="19"/>
              </w:rPr>
              <w:t xml:space="preserve">non collecté (colonne présente au registre)</w:t>
            </w:r>
          </w:p>
        </w:tc>
        <w:tc>
          <w:tcPr>
            <w:tcW w:type="dxa" w:w="1900"/>
            <w:tcMar>
              <w:top w:type="dxa" w:w="60"/>
              <w:left w:type="dxa" w:w="100"/>
              <w:bottom w:type="dxa" w:w="60"/>
              <w:right w:type="dxa" w:w="100"/>
            </w:tcMar>
          </w:tcPr>
          <w:p>
            <w:r>
              <w:rPr>
                <w:b w:val="false"/>
                <w:bCs w:val="false"/>
                <w:i w:val="false"/>
                <w:iCs w:val="false"/>
                <w:sz w:val="19"/>
                <w:szCs w:val="19"/>
              </w:rPr>
              <w:t xml:space="preserve">2</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34 %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CS13</w:t>
            </w:r>
          </w:p>
        </w:tc>
        <w:tc>
          <w:tcPr>
            <w:tcW w:type="dxa" w:w="3300"/>
            <w:tcMar>
              <w:top w:type="dxa" w:w="60"/>
              <w:left w:type="dxa" w:w="100"/>
              <w:bottom w:type="dxa" w:w="60"/>
              <w:right w:type="dxa" w:w="100"/>
            </w:tcMar>
          </w:tcPr>
          <w:p>
            <w:r>
              <w:rPr>
                <w:b w:val="false"/>
                <w:bCs w:val="false"/>
                <w:i w:val="false"/>
                <w:iCs w:val="false"/>
                <w:sz w:val="19"/>
                <w:szCs w:val="19"/>
              </w:rPr>
              <w:t xml:space="preserve">non collecté</w:t>
            </w:r>
          </w:p>
        </w:tc>
        <w:tc>
          <w:tcPr>
            <w:tcW w:type="dxa" w:w="1900"/>
            <w:tcMar>
              <w:top w:type="dxa" w:w="60"/>
              <w:left w:type="dxa" w:w="100"/>
              <w:bottom w:type="dxa" w:w="60"/>
              <w:right w:type="dxa" w:w="100"/>
            </w:tcMar>
          </w:tcPr>
          <w:p>
            <w:r>
              <w:rPr>
                <w:b w:val="false"/>
                <w:bCs w:val="false"/>
                <w:i w:val="false"/>
                <w:iCs w:val="false"/>
                <w:sz w:val="19"/>
                <w:szCs w:val="19"/>
              </w:rPr>
              <w:t xml:space="preserve">0</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39 %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CS14</w:t>
            </w:r>
          </w:p>
        </w:tc>
        <w:tc>
          <w:tcPr>
            <w:tcW w:type="dxa" w:w="3300"/>
            <w:tcMar>
              <w:top w:type="dxa" w:w="60"/>
              <w:left w:type="dxa" w:w="100"/>
              <w:bottom w:type="dxa" w:w="60"/>
              <w:right w:type="dxa" w:w="100"/>
            </w:tcMar>
          </w:tcPr>
          <w:p>
            <w:r>
              <w:rPr>
                <w:b w:val="false"/>
                <w:bCs w:val="false"/>
                <w:i w:val="false"/>
                <w:iCs w:val="false"/>
                <w:sz w:val="19"/>
                <w:szCs w:val="19"/>
              </w:rPr>
              <w:t xml:space="preserve">sans objet (glucomètre en panne)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40 %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CS15</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42 %</w:t>
            </w:r>
          </w:p>
        </w:tc>
      </w:tr>
      <w:tr>
        <w:trPr>
          <w:tblHeader w:val="off"/>
        </w:trPr>
        <w:tc>
          <w:tcPr>
            <w:tcW w:type="dxa" w:w="900"/>
            <w:tcMar>
              <w:top w:type="dxa" w:w="60"/>
              <w:left w:type="dxa" w:w="100"/>
              <w:bottom w:type="dxa" w:w="60"/>
              <w:right w:type="dxa" w:w="100"/>
            </w:tcMar>
          </w:tcPr>
          <w:p>
            <w:r>
              <w:rPr>
                <w:b w:val="false"/>
                <w:bCs w:val="false"/>
                <w:i w:val="false"/>
                <w:iCs w:val="false"/>
                <w:sz w:val="19"/>
                <w:szCs w:val="19"/>
              </w:rPr>
              <w:t xml:space="preserve">CS16</w:t>
            </w:r>
          </w:p>
        </w:tc>
        <w:tc>
          <w:tcPr>
            <w:tcW w:type="dxa" w:w="3300"/>
            <w:tcMar>
              <w:top w:type="dxa" w:w="60"/>
              <w:left w:type="dxa" w:w="100"/>
              <w:bottom w:type="dxa" w:w="60"/>
              <w:right w:type="dxa" w:w="100"/>
            </w:tcMar>
          </w:tcPr>
          <w:p>
            <w:r>
              <w:rPr>
                <w:b w:val="false"/>
                <w:bCs w:val="false"/>
                <w:i w:val="false"/>
                <w:iCs w:val="false"/>
                <w:sz w:val="19"/>
                <w:szCs w:val="19"/>
              </w:rPr>
              <w:t xml:space="preserve">sans objet (pas de glucomètre)</w:t>
            </w:r>
          </w:p>
        </w:tc>
        <w:tc>
          <w:tcPr>
            <w:tcW w:type="dxa" w:w="1900"/>
            <w:tcMar>
              <w:top w:type="dxa" w:w="60"/>
              <w:left w:type="dxa" w:w="100"/>
              <w:bottom w:type="dxa" w:w="60"/>
              <w:right w:type="dxa" w:w="100"/>
            </w:tcMar>
          </w:tcPr>
          <w:p>
            <w:r>
              <w:rPr>
                <w:b w:val="false"/>
                <w:bCs w:val="false"/>
                <w:i w:val="false"/>
                <w:iCs w:val="false"/>
                <w:sz w:val="19"/>
                <w:szCs w:val="19"/>
              </w:rPr>
              <w:t xml:space="preserve">sans objet</w:t>
            </w:r>
          </w:p>
        </w:tc>
        <w:tc>
          <w:tcPr>
            <w:tcW w:type="dxa" w:w="1700"/>
            <w:tcMar>
              <w:top w:type="dxa" w:w="60"/>
              <w:left w:type="dxa" w:w="100"/>
              <w:bottom w:type="dxa" w:w="60"/>
              <w:right w:type="dxa" w:w="100"/>
            </w:tcMar>
          </w:tcPr>
          <w:p>
            <w:r>
              <w:rPr>
                <w:b w:val="false"/>
                <w:bCs w:val="false"/>
                <w:i w:val="false"/>
                <w:iCs w:val="false"/>
                <w:sz w:val="19"/>
                <w:szCs w:val="19"/>
              </w:rPr>
              <w:t xml:space="preserve">plus élevée</w:t>
            </w:r>
          </w:p>
        </w:tc>
        <w:tc>
          <w:tcPr>
            <w:tcW w:type="dxa" w:w="1226"/>
            <w:tcMar>
              <w:top w:type="dxa" w:w="60"/>
              <w:left w:type="dxa" w:w="100"/>
              <w:bottom w:type="dxa" w:w="60"/>
              <w:right w:type="dxa" w:w="100"/>
            </w:tcMar>
          </w:tcPr>
          <w:p>
            <w:r>
              <w:rPr>
                <w:b w:val="false"/>
                <w:bCs w:val="false"/>
                <w:i w:val="false"/>
                <w:iCs w:val="false"/>
                <w:sz w:val="19"/>
                <w:szCs w:val="19"/>
              </w:rPr>
              <w:t xml:space="preserve">45 %</w:t>
            </w:r>
          </w:p>
        </w:tc>
      </w:tr>
    </w:tbl>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5626"/>
      </w:tblGrid>
      <w:tr>
        <w:trPr>
          <w:tblHeader w:val="off"/>
        </w:trPr>
        <w:tc>
          <w:tcPr>
            <w:tcW w:type="dxa" w:w="3400"/>
            <w:tcMar>
              <w:top w:type="dxa" w:w="60"/>
              <w:left w:type="dxa" w:w="100"/>
              <w:bottom w:type="dxa" w:w="60"/>
              <w:right w:type="dxa" w:w="100"/>
            </w:tcMar>
          </w:tcPr>
          <w:p>
            <w:r>
              <w:rPr>
                <w:b w:val="false"/>
                <w:bCs w:val="false"/>
                <w:i w:val="false"/>
                <w:iCs w:val="false"/>
                <w:sz w:val="19"/>
                <w:szCs w:val="19"/>
              </w:rPr>
              <w:t xml:space="preserve">File active des consultations dédiées aux MNT (district)</w:t>
            </w:r>
          </w:p>
        </w:tc>
        <w:tc>
          <w:tcPr>
            <w:tcW w:type="dxa" w:w="5626"/>
            <w:tcMar>
              <w:top w:type="dxa" w:w="60"/>
              <w:left w:type="dxa" w:w="100"/>
              <w:bottom w:type="dxa" w:w="60"/>
              <w:right w:type="dxa" w:w="100"/>
            </w:tcMar>
          </w:tcPr>
          <w:p>
            <w:r>
              <w:rPr>
                <w:b w:val="false"/>
                <w:bCs w:val="false"/>
                <w:i w:val="false"/>
                <w:iCs w:val="false"/>
                <w:sz w:val="19"/>
                <w:szCs w:val="19"/>
              </w:rPr>
              <w:t xml:space="preserve">1 240 personnes suivies en consultation dédiée aux maladies non transmissibles (hôpital et centres), dont aucune ventilation disponible pour les femmes dépistées pendant la grossesse.</w:t>
            </w:r>
          </w:p>
        </w:tc>
      </w:tr>
    </w:tbl>
    <w:p/>
    <w:p>
      <w:pPr>
        <w:pStyle w:val="Heading3"/>
        <w:spacing w:after="100" w:before="180"/>
      </w:pPr>
      <w:r>
        <w:t xml:space="preserve">Notes de lecture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8026"/>
      </w:tblGrid>
      <w:tr>
        <w:trPr>
          <w:tblHeader/>
        </w:trPr>
        <w:tc>
          <w:tcPr>
            <w:tcW w:type="dxa" w:w="1000"/>
            <w:shd w:fill="E8EDF2" w:color="auto" w:val="clear"/>
            <w:tcMar>
              <w:top w:type="dxa" w:w="60"/>
              <w:left w:type="dxa" w:w="100"/>
              <w:bottom w:type="dxa" w:w="60"/>
              <w:right w:type="dxa" w:w="100"/>
            </w:tcMar>
          </w:tcPr>
          <w:p>
            <w:r>
              <w:rPr>
                <w:b/>
                <w:bCs/>
                <w:i w:val="false"/>
                <w:iCs w:val="false"/>
                <w:sz w:val="19"/>
                <w:szCs w:val="19"/>
              </w:rPr>
              <w:t xml:space="preserve">Centre</w:t>
            </w:r>
          </w:p>
        </w:tc>
        <w:tc>
          <w:tcPr>
            <w:tcW w:type="dxa" w:w="8026"/>
            <w:shd w:fill="E8EDF2" w:color="auto" w:val="clear"/>
            <w:tcMar>
              <w:top w:type="dxa" w:w="60"/>
              <w:left w:type="dxa" w:w="100"/>
              <w:bottom w:type="dxa" w:w="60"/>
              <w:right w:type="dxa" w:w="100"/>
            </w:tcMar>
          </w:tcPr>
          <w:p>
            <w:r>
              <w:rPr>
                <w:b/>
                <w:bCs/>
                <w:i w:val="false"/>
                <w:iCs w:val="false"/>
                <w:sz w:val="19"/>
                <w:szCs w:val="19"/>
              </w:rPr>
              <w:t xml:space="preserve">Note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CS09</w:t>
            </w:r>
          </w:p>
        </w:tc>
        <w:tc>
          <w:tcPr>
            <w:tcW w:type="dxa" w:w="8026"/>
            <w:tcMar>
              <w:top w:type="dxa" w:w="60"/>
              <w:left w:type="dxa" w:w="100"/>
              <w:bottom w:type="dxa" w:w="60"/>
              <w:right w:type="dxa" w:w="100"/>
            </w:tcMar>
          </w:tcPr>
          <w:p>
            <w:r>
              <w:rPr>
                <w:b w:val="false"/>
                <w:bCs w:val="false"/>
                <w:i w:val="false"/>
                <w:iCs w:val="false"/>
                <w:sz w:val="19"/>
                <w:szCs w:val="19"/>
              </w:rPr>
              <w:t xml:space="preserve">Centre ouvert en cours d'année : données partielles (avril à décembre).</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CS10</w:t>
            </w:r>
          </w:p>
        </w:tc>
        <w:tc>
          <w:tcPr>
            <w:tcW w:type="dxa" w:w="8026"/>
            <w:tcMar>
              <w:top w:type="dxa" w:w="60"/>
              <w:left w:type="dxa" w:w="100"/>
              <w:bottom w:type="dxa" w:w="60"/>
              <w:right w:type="dxa" w:w="100"/>
            </w:tcMar>
          </w:tcPr>
          <w:p>
            <w:r>
              <w:rPr>
                <w:b w:val="false"/>
                <w:bCs w:val="false"/>
                <w:i w:val="false"/>
                <w:iCs w:val="false"/>
                <w:sz w:val="19"/>
                <w:szCs w:val="19"/>
              </w:rPr>
              <w:t xml:space="preserve">Population mobile : une part des femmes inscrites a poursuivi son suivi dans un autre centre ; le taux de CPN4 ne mesure pas ici la qualité du suivi.</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CS11</w:t>
            </w:r>
          </w:p>
        </w:tc>
        <w:tc>
          <w:tcPr>
            <w:tcW w:type="dxa" w:w="8026"/>
            <w:tcMar>
              <w:top w:type="dxa" w:w="60"/>
              <w:left w:type="dxa" w:w="100"/>
              <w:bottom w:type="dxa" w:w="60"/>
              <w:right w:type="dxa" w:w="100"/>
            </w:tcMar>
          </w:tcPr>
          <w:p>
            <w:r>
              <w:rPr>
                <w:b w:val="false"/>
                <w:bCs w:val="false"/>
                <w:i w:val="false"/>
                <w:iCs w:val="false"/>
                <w:sz w:val="19"/>
                <w:szCs w:val="19"/>
              </w:rPr>
              <w:t xml:space="preserve">Références non tracées au centre : la valeur sous-estime probablement le nombre réel.</w:t>
            </w:r>
          </w:p>
        </w:tc>
      </w:tr>
      <w:tr>
        <w:trPr>
          <w:tblHeader w:val="off"/>
        </w:trPr>
        <w:tc>
          <w:tcPr>
            <w:tcW w:type="dxa" w:w="1000"/>
            <w:tcMar>
              <w:top w:type="dxa" w:w="60"/>
              <w:left w:type="dxa" w:w="100"/>
              <w:bottom w:type="dxa" w:w="60"/>
              <w:right w:type="dxa" w:w="100"/>
            </w:tcMar>
          </w:tcPr>
          <w:p>
            <w:r>
              <w:rPr>
                <w:b w:val="false"/>
                <w:bCs w:val="false"/>
                <w:i w:val="false"/>
                <w:iCs w:val="false"/>
                <w:sz w:val="19"/>
                <w:szCs w:val="19"/>
              </w:rPr>
              <w:t xml:space="preserve">CS13</w:t>
            </w:r>
          </w:p>
        </w:tc>
        <w:tc>
          <w:tcPr>
            <w:tcW w:type="dxa" w:w="8026"/>
            <w:tcMar>
              <w:top w:type="dxa" w:w="60"/>
              <w:left w:type="dxa" w:w="100"/>
              <w:bottom w:type="dxa" w:w="60"/>
              <w:right w:type="dxa" w:w="100"/>
            </w:tcMar>
          </w:tcPr>
          <w:p>
            <w:r>
              <w:rPr>
                <w:b w:val="false"/>
                <w:bCs w:val="false"/>
                <w:i w:val="false"/>
                <w:iCs w:val="false"/>
                <w:sz w:val="19"/>
                <w:szCs w:val="19"/>
              </w:rPr>
              <w:t xml:space="preserve">Taux de CPN4 (88 %) nettement supérieur au reste du district : à lire avec la réserve de qualité ci-dessous, et à rapprocher de la note d'observation sur la complétude du registre.</w:t>
            </w:r>
          </w:p>
        </w:tc>
      </w:tr>
    </w:tbl>
    <w:p/>
    <w:p>
      <w:pPr>
        <w:rPr>
          <w:i/>
          <w:iCs/>
          <w:sz w:val="19"/>
          <w:szCs w:val="19"/>
        </w:rPr>
      </w:pPr>
      <w:r>
        <w:rPr>
          <w:i/>
          <w:iCs/>
          <w:sz w:val="19"/>
          <w:szCs w:val="19"/>
        </w:rPr>
        <w:t xml:space="preserve">Réserve de qualité (annexe 9 du protocole) : les indicateurs relatifs au nombre de visites prénatales présentent, dans le système d'information sanitaire rwandais, une concordance faible avec les registres, avec tendance à la surdéclaration. Les valeurs servent à caractériser le contexte, non à mesurer la pratique de dépistage.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2026-10-01T23:35:08.000Z</dcterms:created>
  <dcterms:modified xsi:type="dcterms:W3CDTF">2026-10-01T23:35:08.000Z</dcterms:modified>
</cp:coreProperties>
</file>

<file path=docProps/custom.xml><?xml version="1.0" encoding="utf-8"?>
<Properties xmlns="http://schemas.openxmlformats.org/officeDocument/2006/custom-properties" xmlns:vt="http://schemas.openxmlformats.org/officeDocument/2006/docPropsVTypes"/>
</file>