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Note de positionnalité — modèle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Modèle rédigé pour s'entraîner. Il suit le protocole (annexe 8 : « journal réflexif et note de positionnalité », au titre de la confirmabilité) et les items 1 à 8 de la grille COREQ.</w:t>
      </w:r>
    </w:p>
    <w:p>
      <w:pPr>
        <w:spacing w:after="80"/>
        <w:rPr>
          <w:sz w:val="20"/>
          <w:szCs w:val="20"/>
        </w:rPr>
      </w:pPr>
      <w:r>
        <w:rPr>
          <w:sz w:val="20"/>
          <w:szCs w:val="20"/>
        </w:rPr>
        <w:t xml:space="preserve"/>
      </w:r>
    </w:p>
    <w:p>
      <w:pPr>
        <w:spacing w:after="80"/>
        <w:rPr>
          <w:sz w:val="20"/>
          <w:szCs w:val="20"/>
        </w:rPr>
      </w:pPr>
      <w:r>
        <w:rPr>
          <w:sz w:val="20"/>
          <w:szCs w:val="20"/>
        </w:rPr>
        <w:t xml:space="preserve">Les passages SURLIGNÉS entre crochets sont des hypothèses d'exercice : ni le protocole ni la simulation ne disent votre profession, votre lien avec le district, votre sexe ou votre âge. Remplacez-les par votre situation réelle. Les exemples de la partie 5 viennent des journaux de bord simulés.</w:t>
      </w:r>
    </w:p>
    <w:p>
      <w:pPr>
        <w:spacing w:after="80"/>
        <w:rPr>
          <w:sz w:val="20"/>
          <w:szCs w:val="20"/>
        </w:rPr>
      </w:pPr>
      <w:r>
        <w:rPr>
          <w:sz w:val="20"/>
          <w:szCs w:val="20"/>
        </w:rPr>
        <w:t xml:space="preserve"/>
      </w:r>
    </w:p>
    <w:p>
      <w:pPr>
        <w:spacing w:after="80"/>
        <w:rPr>
          <w:sz w:val="20"/>
          <w:szCs w:val="20"/>
        </w:rPr>
      </w:pPr>
      <w:r>
        <w:rPr>
          <w:sz w:val="20"/>
          <w:szCs w:val="20"/>
        </w:rPr>
        <w:t xml:space="preserve">Ce même texte figure dans le projet QualiCode, parmi les mémos de projet.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codés (CS01 à CS16), en deux vagues</w:t>
            </w:r>
          </w:p>
        </w:tc>
      </w:tr>
    </w:tbl>
    <w:p>
      <w:r>
        <w:br w:type="page"/>
      </w:r>
    </w:p>
    <w:p>
      <w:pPr>
        <w:spacing w:after="100"/>
      </w:pPr>
      <w:r>
        <w:rPr>
          <w:sz w:val="21"/>
          <w:szCs w:val="21"/>
        </w:rPr>
        <w:t xml:space="preserve">MODÈLE D'EXERCICE — DONNÉES SIMULÉES. Cette note montre la forme attendue d'une note de positionnalité ; elle ne décrit pas une collecte réelle. Les passages </w:t>
      </w:r>
      <w:r>
        <w:rPr>
          <w:sz w:val="21"/>
          <w:szCs w:val="21"/>
          <w:highlight w:val="yellow"/>
        </w:rPr>
        <w:t xml:space="preserve">[entre crochets]</w:t>
      </w:r>
      <w:r>
        <w:rPr>
          <w:sz w:val="21"/>
          <w:szCs w:val="21"/>
        </w:rPr>
        <w:t xml:space="preserve"> sont des HYPOTHÈSES D'EXERCICE : remplacez-les par votre situation réelle, puis réécrivez le reste avec vos propres mots.</w:t>
      </w:r>
    </w:p>
    <w:p>
      <w:pPr>
        <w:spacing w:after="100"/>
      </w:pPr>
      <w:r>
        <w:rPr>
          <w:sz w:val="21"/>
          <w:szCs w:val="21"/>
        </w:rPr>
        <w:t xml:space="preserve">Le protocole la prévoit au titre de la confirmabilité (annexe 8 : « journal réflexif et note de positionnalité »). Elle s'écrit en deux temps : avant le codage (parties 1 à 4), puis à la fin de l'analyse (partie 5). Les parties 1 et 2 suivent les items 1 à 8 de la grille COREQ (domaine 1 : équipe de recherche et réflexivité), que le protocole retient pour le rapportage.</w:t>
      </w:r>
    </w:p>
    <w:p>
      <w:pPr>
        <w:pStyle w:val="Heading1"/>
        <w:spacing w:after="160" w:before="280"/>
      </w:pPr>
      <w:r>
        <w:t xml:space="preserve">PREMIER TEMPS — AVANT LE CODAGE</w:t>
      </w:r>
    </w:p>
    <w:p>
      <w:pPr>
        <w:pStyle w:val="Heading2"/>
        <w:spacing w:after="120" w:before="220"/>
      </w:pPr>
      <w:r>
        <w:t xml:space="preserve">1. QUI JE SUIS DANS CETTE ÉTUDE (COREQ, items 1 à 5)</w:t>
      </w:r>
    </w:p>
    <w:p>
      <w:pPr>
        <w:spacing w:after="100"/>
      </w:pPr>
      <w:r>
        <w:rPr>
          <w:sz w:val="21"/>
          <w:szCs w:val="21"/>
        </w:rPr>
        <w:t xml:space="preserve">Je suis Jacques MUKAKI DUNIA. Je prépare un Master de santé publique, option Promotion de la santé, à l'ENATSE (Université de Parakou, Bénin). Ce travail est mon mémoire de fin de formation, dirigé par la Professeure N. Fanny M. HOUNKPONOU AHOUINGNAN.</w:t>
      </w:r>
    </w:p>
    <w:p>
      <w:pPr>
        <w:spacing w:after="100"/>
      </w:pPr>
      <w:r>
        <w:rPr>
          <w:sz w:val="21"/>
          <w:szCs w:val="21"/>
        </w:rPr>
        <w:t xml:space="preserve">J'ai conduit moi-même les 21 entretiens et les 16 observations. Un collaborateur trilingue a transcrit en kinyarwanda les entretiens conduits dans cette langue ; j'en ai fait la traduction française. J'ai transcrit moi-même les 4 entretiens conduits en français à la demande des participantes.</w:t>
      </w:r>
    </w:p>
    <w:p>
      <w:pPr>
        <w:spacing w:after="100"/>
      </w:pPr>
      <w:r>
        <w:rPr>
          <w:sz w:val="21"/>
          <w:szCs w:val="21"/>
          <w:highlight w:val="yellow"/>
        </w:rPr>
        <w:t xml:space="preserve">[Profession : hypothèse d'exercice — « Avant ce master, j'ai exercé comme professionnel de santé pendant N années, dont N en consultation prénatale / en santé communautaire / en administration sanitaire. » Remplacez par votre parcours réel. C'est l'élément qui pèse le plus sur la note : un ancien soignant de CPN ne regarde pas un registre comme un gestionnaire de programme.]</w:t>
      </w:r>
    </w:p>
    <w:p>
      <w:pPr>
        <w:spacing w:after="100"/>
      </w:pPr>
      <w:r>
        <w:rPr>
          <w:sz w:val="21"/>
          <w:szCs w:val="21"/>
          <w:highlight w:val="yellow"/>
        </w:rPr>
        <w:t xml:space="preserve">[Sexe et âge : à préciser. Ils comptent ici parce que 15 des 21 participants sont des femmes et que 4 ont entre 20 et 29 ans.]</w:t>
      </w:r>
    </w:p>
    <w:p>
      <w:pPr>
        <w:spacing w:after="100"/>
      </w:pPr>
      <w:r>
        <w:rPr>
          <w:sz w:val="21"/>
          <w:szCs w:val="21"/>
        </w:rPr>
        <w:t xml:space="preserve">Formation à la recherche qualitative : </w:t>
      </w:r>
      <w:r>
        <w:rPr>
          <w:sz w:val="21"/>
          <w:szCs w:val="21"/>
          <w:highlight w:val="yellow"/>
        </w:rPr>
        <w:t xml:space="preserve">[les enseignements de méthodologie du master ; cette simulation est mon premier exercice complet de codage]</w:t>
      </w:r>
      <w:r>
        <w:rPr>
          <w:sz w:val="21"/>
          <w:szCs w:val="21"/>
        </w:rPr>
        <w:t xml:space="preserve">. Je n'avais encore jamais conduit d'entretien de recherche.</w:t>
      </w:r>
    </w:p>
    <w:p>
      <w:pPr>
        <w:pStyle w:val="Heading2"/>
        <w:spacing w:after="120" w:before="220"/>
      </w:pPr>
      <w:r>
        <w:t xml:space="preserve">2. MA RELATION AU TERRAIN ET AUX PARTICIPANTS (COREQ, items 6 à 8)</w:t>
      </w:r>
    </w:p>
    <w:p>
      <w:pPr>
        <w:spacing w:after="100"/>
      </w:pPr>
      <w:r>
        <w:rPr>
          <w:sz w:val="21"/>
          <w:szCs w:val="21"/>
        </w:rPr>
        <w:t xml:space="preserve">Ce que les participants savaient de moi. L'introduction lue au début de chaque entretien disait mon nom, mon master, mon université au Bénin, et l'objet de l'étude : comprendre comment les infirmiers et sages-femmes qui assurent la CPN voient le dépistage de l'hypertension et du diabète. Elle ne disait rien de mes convictions sur l'équité, et le guide m'interdisait de prononcer les mots « équité », « justice sociale » et « inégalité ».</w:t>
      </w:r>
    </w:p>
    <w:p>
      <w:pPr>
        <w:spacing w:after="100"/>
      </w:pPr>
      <w:r>
        <w:rPr>
          <w:sz w:val="21"/>
          <w:szCs w:val="21"/>
        </w:rPr>
        <w:t xml:space="preserve">Ce qu'ils ont pu supposer. Une étude autorisée par le district peut être prise pour une évaluation. Un titulaire (P12) m'a demandé, à la fin de l'entretien, si ses réponses seraient transmises au district. D'autres l'ont peut-être pensé sans le dire. C'est la principale source possible de désirabilité sociale dans ce matériau : décrire le service tel qu'il devrait être plutôt que tel qu'il est.</w:t>
      </w:r>
    </w:p>
    <w:p>
      <w:pPr>
        <w:spacing w:after="100"/>
      </w:pPr>
      <w:r>
        <w:rPr>
          <w:sz w:val="21"/>
          <w:szCs w:val="21"/>
          <w:highlight w:val="yellow"/>
        </w:rPr>
        <w:t xml:space="preserve">[Lien avec le district de Ngoma : hypothèse d'exercice — « Je n'ai aucun lien hiérarchique avec les centres de santé du district et je n'y ai jamais exercé. » Si vous y avez travaillé, ou si vous connaissez certains participants, dites-le ici et indiquez comment vous l'avez géré : c'est précisément ce que la note doit rendre visible.]</w:t>
      </w:r>
    </w:p>
    <w:p>
      <w:pPr>
        <w:spacing w:after="100"/>
      </w:pPr>
      <w:r>
        <w:rPr>
          <w:sz w:val="21"/>
          <w:szCs w:val="21"/>
        </w:rPr>
        <w:t xml:space="preserve">Une position à la fois proche et extérieure. Proche, parce que je partage la langue de la plupart des participants (17 entretiens en kinyarwanda) et que je connais le système de santé rwandais : registres, indicateurs de CPN, supervision, références vers l'hôpital. Cela m'a permis de comprendre sans explication des allusions qu'un observateur étranger n'aurait pas saisies. Le risque est symétrique : ne pas faire expliciter ce qui « va de soi », alors que c'est souvent là que se loge la représentation professionnelle. Extérieure, parce que je viens d'une université étrangère, que je n'exerce pas dans ces centres et que je n'y reviendrai pas au quotidien.</w:t>
      </w:r>
    </w:p>
    <w:p>
      <w:pPr>
        <w:spacing w:after="100"/>
      </w:pPr>
      <w:r>
        <w:rPr>
          <w:sz w:val="21"/>
          <w:szCs w:val="21"/>
        </w:rPr>
        <w:t xml:space="preserve">Les asymétries. Les non-titulaires (15 participants sur 21), souvent les plus jeunes dans le métier, étaient les plus exposés : ils parlaient d'un service dont ils ne sont pas responsables, parfois en présence de leur titulaire dans le bâtiment. Une jeune sage-femme (P03) a demandé deux fois si sa réponse était « juste ». Pendant les observations, ma seule présence a modifié certains gestes : le lavage des mains a été plus soigné dans les premières minutes à CS02, et à CS07, où la consultation se tient dans une salle unique, ma place pesait forcément.</w:t>
      </w:r>
    </w:p>
    <w:p>
      <w:pPr>
        <w:pStyle w:val="Heading2"/>
        <w:spacing w:after="120" w:before="220"/>
      </w:pPr>
      <w:r>
        <w:t xml:space="preserve">3. CE QUE JE PENSAIS TROUVER (présupposés avant la collecte)</w:t>
      </w:r>
    </w:p>
    <w:p>
      <w:pPr>
        <w:spacing w:after="100"/>
      </w:pPr>
      <w:r>
        <w:rPr>
          <w:sz w:val="21"/>
          <w:szCs w:val="21"/>
        </w:rPr>
        <w:t xml:space="preserve">Je les écris avant le codage pour pouvoir, à la fin, vérifier s'ils ont orienté ma lecture.</w:t>
      </w:r>
    </w:p>
    <w:p>
      <w:pPr>
        <w:pStyle w:val="ListParagraph"/>
        <w:numPr>
          <w:ilvl w:val="0"/>
          <w:numId w:val="1"/>
        </w:numPr>
        <w:spacing w:after="100"/>
      </w:pPr>
      <w:r>
        <w:rPr>
          <w:sz w:val="21"/>
          <w:szCs w:val="21"/>
        </w:rPr>
        <w:t xml:space="preserve">Je pensais que la contrainte principale serait l'équipement : tensiomètres en panne, absence de glucomètre, ruptures de bandelettes.</w:t>
      </w:r>
    </w:p>
    <w:p>
      <w:pPr>
        <w:pStyle w:val="ListParagraph"/>
        <w:numPr>
          <w:ilvl w:val="0"/>
          <w:numId w:val="1"/>
        </w:numPr>
        <w:spacing w:after="100"/>
      </w:pPr>
      <w:r>
        <w:rPr>
          <w:sz w:val="21"/>
          <w:szCs w:val="21"/>
        </w:rPr>
        <w:t xml:space="preserve">Je m'attendais à ce que les participants expliquent les différences d'accès par la pauvreté et la distance, c'est-à-dire par les catégories de mon cadre conceptuel.</w:t>
      </w:r>
    </w:p>
    <w:p>
      <w:pPr>
        <w:pStyle w:val="ListParagraph"/>
        <w:numPr>
          <w:ilvl w:val="0"/>
          <w:numId w:val="1"/>
        </w:numPr>
        <w:spacing w:after="100"/>
      </w:pPr>
      <w:r>
        <w:rPr>
          <w:sz w:val="21"/>
          <w:szCs w:val="21"/>
        </w:rPr>
        <w:t xml:space="preserve">Mon cadre (le dépistage « capacitant », l'équité) est normatif. Il porte le risque de lire tout propos comme un écart à une norme, et de transformer l'analyse en inventaire de manques.</w:t>
      </w:r>
    </w:p>
    <w:p>
      <w:pPr>
        <w:pStyle w:val="ListParagraph"/>
        <w:numPr>
          <w:ilvl w:val="0"/>
          <w:numId w:val="1"/>
        </w:numPr>
        <w:spacing w:after="100"/>
      </w:pPr>
      <w:r>
        <w:rPr>
          <w:sz w:val="21"/>
          <w:szCs w:val="21"/>
        </w:rPr>
        <w:t xml:space="preserve">J'ai de la sympathie pour des soignants qui travaillent dans des conditions difficiles. Cela peut me conduire à excuser trop vite ce qui relève des pratiques, ou, à l'inverse, à durcir le jugement quand le discours et l'observation ne concordent pas.</w:t>
      </w:r>
    </w:p>
    <w:p>
      <w:pPr>
        <w:pStyle w:val="ListParagraph"/>
        <w:numPr>
          <w:ilvl w:val="0"/>
          <w:numId w:val="1"/>
        </w:numPr>
        <w:spacing w:after="100"/>
      </w:pPr>
      <w:r>
        <w:rPr>
          <w:sz w:val="21"/>
          <w:szCs w:val="21"/>
        </w:rPr>
        <w:t xml:space="preserve">Les propos des participants sur les femmes (« elles ne reviennent pas », « elles préfèrent le guérisseur ») risquent d'être lus comme des faits. Le protocole les traite comme des représentations professionnelles : je dois m'y tenir, sans les approuver ni les corriger.</w:t>
      </w:r>
    </w:p>
    <w:p>
      <w:pPr>
        <w:pStyle w:val="Heading2"/>
        <w:spacing w:after="120" w:before="220"/>
      </w:pPr>
      <w:r>
        <w:t xml:space="preserve">4. CE QUE JE FAIS POUR CONTENIR CES INFLUENCES</w:t>
      </w:r>
    </w:p>
    <w:p>
      <w:pPr>
        <w:pStyle w:val="ListParagraph"/>
        <w:numPr>
          <w:ilvl w:val="0"/>
          <w:numId w:val="1"/>
        </w:numPr>
        <w:spacing w:after="100"/>
      </w:pPr>
      <w:r>
        <w:rPr>
          <w:sz w:val="21"/>
          <w:szCs w:val="21"/>
        </w:rPr>
        <w:t xml:space="preserve">Relances neutres ; aucun des trois mots interdits n'est prononcé.</w:t>
      </w:r>
    </w:p>
    <w:p>
      <w:pPr>
        <w:pStyle w:val="ListParagraph"/>
        <w:numPr>
          <w:ilvl w:val="0"/>
          <w:numId w:val="1"/>
        </w:numPr>
        <w:spacing w:after="100"/>
      </w:pPr>
      <w:r>
        <w:rPr>
          <w:sz w:val="21"/>
          <w:szCs w:val="21"/>
        </w:rPr>
        <w:t xml:space="preserve">Journal de bord rédigé après chaque entretien et chaque observation, avec une rubrique « Réflexion » où je note ce que j'ai pu induire.</w:t>
      </w:r>
    </w:p>
    <w:p>
      <w:pPr>
        <w:pStyle w:val="ListParagraph"/>
        <w:numPr>
          <w:ilvl w:val="0"/>
          <w:numId w:val="1"/>
        </w:numPr>
        <w:spacing w:after="100"/>
      </w:pPr>
      <w:r>
        <w:rPr>
          <w:sz w:val="21"/>
          <w:szCs w:val="21"/>
        </w:rPr>
        <w:t xml:space="preserve">Double codage d'un tiers des entretiens par un second codeur, puis recodage de deux entretiens par moi-même, à distance, pour mesurer ma propre stabilité.</w:t>
      </w:r>
    </w:p>
    <w:p>
      <w:pPr>
        <w:pStyle w:val="ListParagraph"/>
        <w:numPr>
          <w:ilvl w:val="0"/>
          <w:numId w:val="1"/>
        </w:numPr>
        <w:spacing w:after="100"/>
      </w:pPr>
      <w:r>
        <w:rPr>
          <w:sz w:val="21"/>
          <w:szCs w:val="21"/>
        </w:rPr>
        <w:t xml:space="preserve">Triangulation entre entretiens, observations et données de routine, en consignant les concordances autant que les écarts, et sans imputer un écart à une intention.</w:t>
      </w:r>
    </w:p>
    <w:p>
      <w:pPr>
        <w:pStyle w:val="ListParagraph"/>
        <w:numPr>
          <w:ilvl w:val="0"/>
          <w:numId w:val="1"/>
        </w:numPr>
        <w:spacing w:after="100"/>
      </w:pPr>
      <w:r>
        <w:rPr>
          <w:sz w:val="21"/>
          <w:szCs w:val="21"/>
        </w:rPr>
        <w:t xml:space="preserve">Vérification des interprétations auprès des participants qui l'ont acceptée (P08 et P20 l'ont refusée).</w:t>
      </w:r>
    </w:p>
    <w:p>
      <w:pPr>
        <w:pStyle w:val="ListParagraph"/>
        <w:numPr>
          <w:ilvl w:val="0"/>
          <w:numId w:val="1"/>
        </w:numPr>
        <w:spacing w:after="100"/>
      </w:pPr>
      <w:r>
        <w:rPr>
          <w:sz w:val="21"/>
          <w:szCs w:val="21"/>
        </w:rPr>
        <w:t xml:space="preserve">Codes inductifs gardés ouverts : si mes présupposés ne se vérifient pas, la grille doit changer, et le cadre avec elle.</w:t>
      </w:r>
    </w:p>
    <w:p>
      <w:pPr>
        <w:pStyle w:val="ListParagraph"/>
        <w:numPr>
          <w:ilvl w:val="0"/>
          <w:numId w:val="1"/>
        </w:numPr>
        <w:spacing w:after="100"/>
      </w:pPr>
      <w:r>
        <w:rPr>
          <w:sz w:val="21"/>
          <w:szCs w:val="21"/>
        </w:rPr>
        <w:t xml:space="preserve">Respect strict des consentements : P05 n'est jamais cité ; les extraits de P19 ne sont jamais associés à son centre.</w:t>
      </w:r>
    </w:p>
    <w:p>
      <w:pPr>
        <w:pStyle w:val="Heading1"/>
        <w:spacing w:after="160" w:before="280"/>
      </w:pPr>
      <w:r>
        <w:t xml:space="preserve">SECOND TEMPS — À LA FIN DE L'ANALYSE</w:t>
      </w:r>
    </w:p>
    <w:p>
      <w:pPr>
        <w:pStyle w:val="Heading2"/>
        <w:spacing w:after="120" w:before="220"/>
      </w:pPr>
      <w:r>
        <w:t xml:space="preserve">5. CE QUE MA POSITION A PRODUIT, ET CE QUE J'EN TIRE</w:t>
      </w:r>
    </w:p>
    <w:p>
      <w:pPr>
        <w:spacing w:after="100"/>
      </w:pPr>
      <w:r>
        <w:rPr>
          <w:sz w:val="21"/>
          <w:szCs w:val="21"/>
        </w:rPr>
        <w:t xml:space="preserve">Ce que le journal montre de mes propres interventions. Relu d'un bloc, il fait apparaître des moments précis où j'ai pu orienter le matériau :</w:t>
      </w:r>
    </w:p>
    <w:p>
      <w:pPr>
        <w:pStyle w:val="ListParagraph"/>
        <w:numPr>
          <w:ilvl w:val="0"/>
          <w:numId w:val="1"/>
        </w:numPr>
        <w:spacing w:after="100"/>
      </w:pPr>
      <w:r>
        <w:rPr>
          <w:sz w:val="21"/>
          <w:szCs w:val="21"/>
        </w:rPr>
        <w:t xml:space="preserve">P02 : relance trop rapide à la question 6, qui suggérait presque la réponse. Ce passage doit être lu avec prudence.</w:t>
      </w:r>
    </w:p>
    <w:p>
      <w:pPr>
        <w:pStyle w:val="ListParagraph"/>
        <w:numPr>
          <w:ilvl w:val="0"/>
          <w:numId w:val="1"/>
        </w:numPr>
        <w:spacing w:after="100"/>
      </w:pPr>
      <w:r>
        <w:rPr>
          <w:sz w:val="21"/>
          <w:szCs w:val="21"/>
        </w:rPr>
        <w:t xml:space="preserve">P09, P15 : tentation de valoriser par mes réactions les initiatives décrites. J'ai dû me limiter aux relances neutres.</w:t>
      </w:r>
    </w:p>
    <w:p>
      <w:pPr>
        <w:pStyle w:val="ListParagraph"/>
        <w:numPr>
          <w:ilvl w:val="0"/>
          <w:numId w:val="1"/>
        </w:numPr>
        <w:spacing w:after="100"/>
      </w:pPr>
      <w:r>
        <w:rPr>
          <w:sz w:val="21"/>
          <w:szCs w:val="21"/>
        </w:rPr>
        <w:t xml:space="preserve">P10 : relance manquée sur le rôle du conjoint, par gêne. Ce thème est donc probablement sous-représenté dans mon corpus du fait de ma conduite, pas seulement du fait des participants.</w:t>
      </w:r>
    </w:p>
    <w:p>
      <w:pPr>
        <w:pStyle w:val="ListParagraph"/>
        <w:numPr>
          <w:ilvl w:val="0"/>
          <w:numId w:val="1"/>
        </w:numPr>
        <w:spacing w:after="100"/>
      </w:pPr>
      <w:r>
        <w:rPr>
          <w:sz w:val="21"/>
          <w:szCs w:val="21"/>
        </w:rPr>
        <w:t xml:space="preserve">P11 : surprise devant un dépistage glycémique décrit comme une routine. Il a fallu ne pas la laisser paraître.</w:t>
      </w:r>
    </w:p>
    <w:p>
      <w:pPr>
        <w:pStyle w:val="ListParagraph"/>
        <w:numPr>
          <w:ilvl w:val="0"/>
          <w:numId w:val="1"/>
        </w:numPr>
        <w:spacing w:after="100"/>
      </w:pPr>
      <w:r>
        <w:rPr>
          <w:sz w:val="21"/>
          <w:szCs w:val="21"/>
        </w:rPr>
        <w:t xml:space="preserve">P18 : tentation de reformuler les questions pour obtenir des catégories que la participante refusait. Je ne l'ai pas fait, et ce refus est devenu une donnée.</w:t>
      </w:r>
    </w:p>
    <w:p>
      <w:pPr>
        <w:pStyle w:val="ListParagraph"/>
        <w:numPr>
          <w:ilvl w:val="0"/>
          <w:numId w:val="1"/>
        </w:numPr>
        <w:spacing w:after="100"/>
      </w:pPr>
      <w:r>
        <w:rPr>
          <w:sz w:val="21"/>
          <w:szCs w:val="21"/>
        </w:rPr>
        <w:t xml:space="preserve">P19 : la participante a abordé d'elle-même la tenue du registre, que l'observation de la veille m'avait montrée et dont je n'avais rien dit.</w:t>
      </w:r>
    </w:p>
    <w:p>
      <w:pPr>
        <w:spacing w:after="100"/>
      </w:pPr>
      <w:r>
        <w:rPr>
          <w:sz w:val="21"/>
          <w:szCs w:val="21"/>
        </w:rPr>
        <w:t xml:space="preserve">Ce qui m'a surpris. Mon premier présupposé ne s'est pas vérifié : dans plusieurs centres, l'équipement existe ; ce qui manque, c'est un espace où dire un résultat sans qu'il soit entendu, et du temps pour l'expliquer. L'analyse a ensuite fait apparaître des thèmes que je n'attendais pas : le dispositif de contrôle oriente l'attention (T4 — Ce qui est compté existe), le registre peut masquer l'inégalité (T6 — Le registre comme écran), et le dépistage se prolonge hors du centre par les relais communautaires (T7 — Le dépistage hors des murs). Ces thèmes viennent du matériau, pas de ma grille : c'est un indice que les codes inductifs ont joué leur rôle.</w:t>
      </w:r>
    </w:p>
    <w:p>
      <w:pPr>
        <w:spacing w:after="100"/>
      </w:pPr>
      <w:r>
        <w:rPr>
          <w:sz w:val="21"/>
          <w:szCs w:val="21"/>
        </w:rPr>
        <w:t xml:space="preserve">Ce que je n'ai peut-être pas voulu entendre. Ma formation en santé publique me porte vers les explications systémiques (dotation, supervision, indicateurs). Les thèmes de ce type pourraient être surreprésentés dans mes résultats au détriment de ce qui relève du jugement clinique individuel. J'en ferai un point explicite de la discussion avec ma directrice et de la vérification des interprétations.</w:t>
      </w:r>
    </w:p>
    <w:p>
      <w:pPr>
        <w:spacing w:after="100"/>
      </w:pPr>
      <w:r>
        <w:rPr>
          <w:sz w:val="21"/>
          <w:szCs w:val="21"/>
        </w:rPr>
        <w:t xml:space="preserve">Ce que je ferai autrement lors de la collecte réelle :</w:t>
      </w:r>
    </w:p>
    <w:p>
      <w:pPr>
        <w:pStyle w:val="ListParagraph"/>
        <w:numPr>
          <w:ilvl w:val="0"/>
          <w:numId w:val="1"/>
        </w:numPr>
        <w:spacing w:after="100"/>
      </w:pPr>
      <w:r>
        <w:rPr>
          <w:sz w:val="21"/>
          <w:szCs w:val="21"/>
        </w:rPr>
        <w:t xml:space="preserve">noter, dès l'introduction, que l'étude n'est pas une évaluation du centre et que rien ne sera transmis nominativement au district ;</w:t>
      </w:r>
    </w:p>
    <w:p>
      <w:pPr>
        <w:pStyle w:val="ListParagraph"/>
        <w:numPr>
          <w:ilvl w:val="0"/>
          <w:numId w:val="1"/>
        </w:numPr>
        <w:spacing w:after="100"/>
      </w:pPr>
      <w:r>
        <w:rPr>
          <w:sz w:val="21"/>
          <w:szCs w:val="21"/>
        </w:rPr>
        <w:t xml:space="preserve">préparer des relances neutres sur le conjoint et l'entourage ;</w:t>
      </w:r>
    </w:p>
    <w:p>
      <w:pPr>
        <w:pStyle w:val="ListParagraph"/>
        <w:numPr>
          <w:ilvl w:val="0"/>
          <w:numId w:val="1"/>
        </w:numPr>
        <w:spacing w:after="100"/>
      </w:pPr>
      <w:r>
        <w:rPr>
          <w:sz w:val="21"/>
          <w:szCs w:val="21"/>
        </w:rPr>
        <w:t xml:space="preserve">m'interdire de commenter, même par une réaction, une pratique décrite ;</w:t>
      </w:r>
    </w:p>
    <w:p>
      <w:pPr>
        <w:pStyle w:val="ListParagraph"/>
        <w:numPr>
          <w:ilvl w:val="0"/>
          <w:numId w:val="1"/>
        </w:numPr>
        <w:spacing w:after="100"/>
      </w:pPr>
      <w:r>
        <w:rPr>
          <w:sz w:val="21"/>
          <w:szCs w:val="21"/>
        </w:rPr>
        <w:t xml:space="preserve">pendant les observations, me placer d'emblée hors de l'espace de soin quand la salle est unique.</w:t>
      </w:r>
    </w:p>
    <w:p>
      <w:pPr>
        <w:pStyle w:val="Heading1"/>
        <w:spacing w:after="160" w:before="280"/>
      </w:pPr>
      <w:r>
        <w:t xml:space="preserve">POUR LA NOTE RÉELLE</w:t>
      </w:r>
    </w:p>
    <w:p>
      <w:pPr>
        <w:pStyle w:val="ListParagraph"/>
        <w:numPr>
          <w:ilvl w:val="0"/>
          <w:numId w:val="1"/>
        </w:numPr>
        <w:spacing w:after="100"/>
      </w:pPr>
      <w:r>
        <w:rPr>
          <w:sz w:val="21"/>
          <w:szCs w:val="21"/>
        </w:rPr>
        <w:t xml:space="preserve">Remplacez chaque passage entre crochets par votre situation réelle.</w:t>
      </w:r>
    </w:p>
    <w:p>
      <w:pPr>
        <w:pStyle w:val="ListParagraph"/>
        <w:numPr>
          <w:ilvl w:val="0"/>
          <w:numId w:val="1"/>
        </w:numPr>
        <w:spacing w:after="100"/>
      </w:pPr>
      <w:r>
        <w:rPr>
          <w:sz w:val="21"/>
          <w:szCs w:val="21"/>
        </w:rPr>
        <w:t xml:space="preserve">Rédigez les parties 1 à 4 AVANT de coder le premier entretien réel ; datez-les, et ne les corrigez plus ensuite : complétez-les.</w:t>
      </w:r>
    </w:p>
    <w:p>
      <w:pPr>
        <w:pStyle w:val="ListParagraph"/>
        <w:numPr>
          <w:ilvl w:val="0"/>
          <w:numId w:val="1"/>
        </w:numPr>
        <w:spacing w:after="100"/>
      </w:pPr>
      <w:r>
        <w:rPr>
          <w:sz w:val="21"/>
          <w:szCs w:val="21"/>
        </w:rPr>
        <w:t xml:space="preserve">Rédigez la partie 5 à partir de VOTRE journal réel. Les exemples ci-dessus viennent des journaux simulés et ne doivent pas être repris.</w:t>
      </w:r>
    </w:p>
    <w:p>
      <w:pPr>
        <w:pStyle w:val="ListParagraph"/>
        <w:numPr>
          <w:ilvl w:val="0"/>
          <w:numId w:val="1"/>
        </w:numPr>
        <w:spacing w:after="100"/>
      </w:pPr>
      <w:r>
        <w:rPr>
          <w:sz w:val="21"/>
          <w:szCs w:val="21"/>
        </w:rPr>
        <w:t xml:space="preserve">Dans le mémoire, un paragraphe de méthode suffit (« Position du chercheur ») ; la note complète reste dans la piste d'audit.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2026-10-01T23:35:08.833Z</dcterms:created>
  <dcterms:modified xsi:type="dcterms:W3CDTF">2026-10-01T23:35:08.833Z</dcterms:modified>
</cp:coreProperties>
</file>

<file path=docProps/custom.xml><?xml version="1.0" encoding="utf-8"?>
<Properties xmlns="http://schemas.openxmlformats.org/officeDocument/2006/custom-properties" xmlns:vt="http://schemas.openxmlformats.org/officeDocument/2006/docPropsVTypes"/>
</file>