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20 entretiens conduits (index ci-dessous ; transcriptions intégrales dans le document 2)</w:t>
      </w:r>
    </w:p>
    <w:p>
      <w:pPr>
        <w:spacing w:after="80"/>
        <w:rPr>
          <w:sz w:val="20"/>
          <w:szCs w:val="20"/>
        </w:rPr>
      </w:pPr>
      <w:r>
        <w:rPr>
          <w:sz w:val="20"/>
          <w:szCs w:val="20"/>
        </w:rPr>
        <w:t xml:space="preserve">· Annexe 2 — guide d'observation du service : 15 grilles, une par centre de santé</w:t>
      </w:r>
    </w:p>
    <w:p>
      <w:pPr>
        <w:spacing w:after="80"/>
        <w:rPr>
          <w:sz w:val="20"/>
          <w:szCs w:val="20"/>
        </w:rPr>
      </w:pPr>
      <w:r>
        <w:rPr>
          <w:sz w:val="20"/>
          <w:szCs w:val="20"/>
        </w:rPr>
        <w:t xml:space="preserve">· Annexe 3 — fiche de données sociodémographiques et professionnelles : 20 fiches</w:t>
      </w:r>
    </w:p>
    <w:p>
      <w:pPr>
        <w:spacing w:after="80"/>
        <w:rPr>
          <w:sz w:val="20"/>
          <w:szCs w:val="20"/>
        </w:rPr>
      </w:pPr>
      <w:r>
        <w:rPr>
          <w:sz w:val="20"/>
          <w:szCs w:val="20"/>
        </w:rPr>
        <w:t xml:space="preserve">· Annexe 4 — registre de suivi des consentements : 20 participants</w:t>
      </w:r>
    </w:p>
    <w:p>
      <w:pPr>
        <w:spacing w:after="80"/>
        <w:rPr>
          <w:sz w:val="20"/>
          <w:szCs w:val="20"/>
        </w:rPr>
      </w:pPr>
      <w:r>
        <w:rPr>
          <w:sz w:val="20"/>
          <w:szCs w:val="20"/>
        </w:rPr>
        <w:t xml:space="preserve">· Annexe 9 — données de routine du district : 15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(10 participants, les 10 autres centres). Ensemble, elles couvrent 15 des seize centres de santé du district (le seizième a servi au pré-test),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10 sages-femmes (P02, P03, P06, P07, P10, P11, P13, P15, P17, P19)</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5 titulaires (P01, P05, P09, P12, P16)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14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14 ruraux (CS04, CS05, CS07, CS08, CS09, CS10, CS11, CS12, CS13, CS14, CS15)</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14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13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14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au laboratoire du centre, un de réserve sous clé</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Glycémies de CPN réalisées au laboratoire sur bon, le matin même ; plusieurs bons de CPN au registre du laboratoire pendant la demi-journée. Glycémie de la première CPN pour toutes ;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Fiche de stock tenue à jour, part réservée à la CPN,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les critères de dépistage ciblé.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presque toutes les lignes de première CPN et absente des visites suivantes, ce qui correspond au test unique de la première CPN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circuit de la glycémie — bon rempli en CPN, test au laboratoire, résultat rapporté le matin même — fonctionne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(test de contrôle effectué le matin)</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Non utilisé pour la CPN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elle est vide sur les pages de 2026, période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réservé en priorité à la consultation MNT et aux demandes de CPN jugées justifiées.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la majorité des lignes de première visite ; rubrique absente des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rangé à la consultation MNT (jeudi)</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l'appareil n'est pas utilisé pour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présente et vide.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 valides.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de laboratoire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aucune demande de glycémie émanant de la CPN au registre du laboratoire sur le mois consulté.</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Réservées à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présente et vide : le test n'est pas fait pour la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l'organisation du centre, où le seul glucomètre est au laboratoire et sert la consultation des malades chroniques,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Panne signalée selon l'équipe ; les glycémies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Prévu dans la dotation du laboratoire selon l'équipe, non livré ; le laboratoire n'est pas encore opérationnel.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le laboratoire accepte les bons de la CPN : glycémie de la première CPN pour toutes, puis sur facteurs de risque.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Laboratoire en rupture depuis environ deux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Appareil reçu il y a environ deux ans ; en panne depuis une date que l'équipe ne situe pas précisément.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jamais pour la CPN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présente et vide : le glucomètre sert à la consultation MNT.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1080</w:t>
            </w:r>
          </w:p>
        </w:tc>
        <w:tc>
          <w:tcPr>
            <w:tcW w:type="dxa" w:w="900"/>
            <w:tcMar>
              <w:top w:type="dxa" w:w="60"/>
              <w:left w:type="dxa" w:w="100"/>
              <w:bottom w:type="dxa" w:w="60"/>
              <w:right w:type="dxa" w:w="100"/>
            </w:tcMar>
          </w:tcPr>
          <w:p>
            <w:r>
              <w:rPr>
                <w:b w:val="false"/>
                <w:bCs w:val="false"/>
                <w:i w:val="false"/>
                <w:iCs w:val="false"/>
                <w:sz w:val="19"/>
                <w:szCs w:val="19"/>
              </w:rPr>
              <w:t xml:space="preserve">896</w:t>
            </w:r>
          </w:p>
        </w:tc>
        <w:tc>
          <w:tcPr>
            <w:tcW w:type="dxa" w:w="1200"/>
            <w:tcMar>
              <w:top w:type="dxa" w:w="60"/>
              <w:left w:type="dxa" w:w="100"/>
              <w:bottom w:type="dxa" w:w="60"/>
              <w:right w:type="dxa" w:w="100"/>
            </w:tcMar>
          </w:tcPr>
          <w:p>
            <w:r>
              <w:rPr>
                <w:b w:val="false"/>
                <w:bCs w:val="false"/>
                <w:i w:val="false"/>
                <w:iCs w:val="false"/>
                <w:sz w:val="19"/>
                <w:szCs w:val="19"/>
              </w:rPr>
              <w:t xml:space="preserve">83 %</w:t>
            </w:r>
          </w:p>
        </w:tc>
        <w:tc>
          <w:tcPr>
            <w:tcW w:type="dxa" w:w="1700"/>
            <w:tcMar>
              <w:top w:type="dxa" w:w="60"/>
              <w:left w:type="dxa" w:w="100"/>
              <w:bottom w:type="dxa" w:w="60"/>
              <w:right w:type="dxa" w:w="100"/>
            </w:tcMar>
          </w:tcPr>
          <w:p>
            <w:r>
              <w:rPr>
                <w:b w:val="false"/>
                <w:bCs w:val="false"/>
                <w:i w:val="false"/>
                <w:iCs w:val="false"/>
                <w:sz w:val="19"/>
                <w:szCs w:val="19"/>
              </w:rPr>
              <w:t xml:space="preserve">74 %</w:t>
            </w:r>
          </w:p>
        </w:tc>
        <w:tc>
          <w:tcPr>
            <w:tcW w:type="dxa" w:w="1900"/>
            <w:tcMar>
              <w:top w:type="dxa" w:w="60"/>
              <w:left w:type="dxa" w:w="100"/>
              <w:bottom w:type="dxa" w:w="60"/>
              <w:right w:type="dxa" w:w="100"/>
            </w:tcMar>
          </w:tcPr>
          <w:p>
            <w:r>
              <w:rPr>
                <w:b w:val="false"/>
                <w:bCs w:val="false"/>
                <w:i w:val="false"/>
                <w:iCs w:val="false"/>
                <w:sz w:val="19"/>
                <w:szCs w:val="19"/>
              </w:rPr>
              <w:t xml:space="preserve">46</w:t>
            </w:r>
          </w:p>
        </w:tc>
        <w:tc>
          <w:tcPr>
            <w:tcW w:type="dxa" w:w="1526"/>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860</w:t>
            </w:r>
          </w:p>
        </w:tc>
        <w:tc>
          <w:tcPr>
            <w:tcW w:type="dxa" w:w="900"/>
            <w:tcMar>
              <w:top w:type="dxa" w:w="60"/>
              <w:left w:type="dxa" w:w="100"/>
              <w:bottom w:type="dxa" w:w="60"/>
              <w:right w:type="dxa" w:w="100"/>
            </w:tcMar>
          </w:tcPr>
          <w:p>
            <w:r>
              <w:rPr>
                <w:b w:val="false"/>
                <w:bCs w:val="false"/>
                <w:i w:val="false"/>
                <w:iCs w:val="false"/>
                <w:sz w:val="19"/>
                <w:szCs w:val="19"/>
              </w:rPr>
              <w:t xml:space="preserve">688</w:t>
            </w:r>
          </w:p>
        </w:tc>
        <w:tc>
          <w:tcPr>
            <w:tcW w:type="dxa" w:w="1200"/>
            <w:tcMar>
              <w:top w:type="dxa" w:w="60"/>
              <w:left w:type="dxa" w:w="100"/>
              <w:bottom w:type="dxa" w:w="60"/>
              <w:right w:type="dxa" w:w="100"/>
            </w:tcMar>
          </w:tcPr>
          <w:p>
            <w:r>
              <w:rPr>
                <w:b w:val="false"/>
                <w:bCs w:val="false"/>
                <w:i w:val="false"/>
                <w:iCs w:val="false"/>
                <w:sz w:val="19"/>
                <w:szCs w:val="19"/>
              </w:rPr>
              <w:t xml:space="preserve">80 %</w:t>
            </w:r>
          </w:p>
        </w:tc>
        <w:tc>
          <w:tcPr>
            <w:tcW w:type="dxa" w:w="1700"/>
            <w:tcMar>
              <w:top w:type="dxa" w:w="60"/>
              <w:left w:type="dxa" w:w="100"/>
              <w:bottom w:type="dxa" w:w="60"/>
              <w:right w:type="dxa" w:w="100"/>
            </w:tcMar>
          </w:tcPr>
          <w:p>
            <w:r>
              <w:rPr>
                <w:b w:val="false"/>
                <w:bCs w:val="false"/>
                <w:i w:val="false"/>
                <w:iCs w:val="false"/>
                <w:sz w:val="19"/>
                <w:szCs w:val="19"/>
              </w:rPr>
              <w:t xml:space="preserve">70 %</w:t>
            </w:r>
          </w:p>
        </w:tc>
        <w:tc>
          <w:tcPr>
            <w:tcW w:type="dxa" w:w="1900"/>
            <w:tcMar>
              <w:top w:type="dxa" w:w="60"/>
              <w:left w:type="dxa" w:w="100"/>
              <w:bottom w:type="dxa" w:w="60"/>
              <w:right w:type="dxa" w:w="100"/>
            </w:tcMar>
          </w:tcPr>
          <w:p>
            <w:r>
              <w:rPr>
                <w:b w:val="false"/>
                <w:bCs w:val="false"/>
                <w:i w:val="false"/>
                <w:iCs w:val="false"/>
                <w:sz w:val="19"/>
                <w:szCs w:val="19"/>
              </w:rPr>
              <w:t xml:space="preserve">30</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990</w:t>
            </w:r>
          </w:p>
        </w:tc>
        <w:tc>
          <w:tcPr>
            <w:tcW w:type="dxa" w:w="900"/>
            <w:tcMar>
              <w:top w:type="dxa" w:w="60"/>
              <w:left w:type="dxa" w:w="100"/>
              <w:bottom w:type="dxa" w:w="60"/>
              <w:right w:type="dxa" w:w="100"/>
            </w:tcMar>
          </w:tcPr>
          <w:p>
            <w:r>
              <w:rPr>
                <w:b w:val="false"/>
                <w:bCs w:val="false"/>
                <w:i w:val="false"/>
                <w:iCs w:val="false"/>
                <w:sz w:val="19"/>
                <w:szCs w:val="19"/>
              </w:rPr>
              <w:t xml:space="preserve">812</w:t>
            </w:r>
          </w:p>
        </w:tc>
        <w:tc>
          <w:tcPr>
            <w:tcW w:type="dxa" w:w="1200"/>
            <w:tcMar>
              <w:top w:type="dxa" w:w="60"/>
              <w:left w:type="dxa" w:w="100"/>
              <w:bottom w:type="dxa" w:w="60"/>
              <w:right w:type="dxa" w:w="100"/>
            </w:tcMar>
          </w:tcPr>
          <w:p>
            <w:r>
              <w:rPr>
                <w:b w:val="false"/>
                <w:bCs w:val="false"/>
                <w:i w:val="false"/>
                <w:iCs w:val="false"/>
                <w:sz w:val="19"/>
                <w:szCs w:val="19"/>
              </w:rPr>
              <w:t xml:space="preserve">82 %</w:t>
            </w:r>
          </w:p>
        </w:tc>
        <w:tc>
          <w:tcPr>
            <w:tcW w:type="dxa" w:w="1700"/>
            <w:tcMar>
              <w:top w:type="dxa" w:w="60"/>
              <w:left w:type="dxa" w:w="100"/>
              <w:bottom w:type="dxa" w:w="60"/>
              <w:right w:type="dxa" w:w="100"/>
            </w:tcMar>
          </w:tcPr>
          <w:p>
            <w:r>
              <w:rPr>
                <w:b w:val="false"/>
                <w:bCs w:val="false"/>
                <w:i w:val="false"/>
                <w:iCs w:val="false"/>
                <w:sz w:val="19"/>
                <w:szCs w:val="19"/>
              </w:rPr>
              <w:t xml:space="preserve">72 %</w:t>
            </w:r>
          </w:p>
        </w:tc>
        <w:tc>
          <w:tcPr>
            <w:tcW w:type="dxa" w:w="1900"/>
            <w:tcMar>
              <w:top w:type="dxa" w:w="60"/>
              <w:left w:type="dxa" w:w="100"/>
              <w:bottom w:type="dxa" w:w="60"/>
              <w:right w:type="dxa" w:w="100"/>
            </w:tcMar>
          </w:tcPr>
          <w:p>
            <w:r>
              <w:rPr>
                <w:b w:val="false"/>
                <w:bCs w:val="false"/>
                <w:i w:val="false"/>
                <w:iCs w:val="false"/>
                <w:sz w:val="19"/>
                <w:szCs w:val="19"/>
              </w:rPr>
              <w:t xml:space="preserve">41</w:t>
            </w:r>
          </w:p>
        </w:tc>
        <w:tc>
          <w:tcPr>
            <w:tcW w:type="dxa" w:w="1526"/>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560</w:t>
            </w:r>
          </w:p>
        </w:tc>
        <w:tc>
          <w:tcPr>
            <w:tcW w:type="dxa" w:w="900"/>
            <w:tcMar>
              <w:top w:type="dxa" w:w="60"/>
              <w:left w:type="dxa" w:w="100"/>
              <w:bottom w:type="dxa" w:w="60"/>
              <w:right w:type="dxa" w:w="100"/>
            </w:tcMar>
          </w:tcPr>
          <w:p>
            <w:r>
              <w:rPr>
                <w:b w:val="false"/>
                <w:bCs w:val="false"/>
                <w:i w:val="false"/>
                <w:iCs w:val="false"/>
                <w:sz w:val="19"/>
                <w:szCs w:val="19"/>
              </w:rPr>
              <w:t xml:space="preserve">392</w:t>
            </w:r>
          </w:p>
        </w:tc>
        <w:tc>
          <w:tcPr>
            <w:tcW w:type="dxa" w:w="1200"/>
            <w:tcMar>
              <w:top w:type="dxa" w:w="60"/>
              <w:left w:type="dxa" w:w="100"/>
              <w:bottom w:type="dxa" w:w="60"/>
              <w:right w:type="dxa" w:w="100"/>
            </w:tcMar>
          </w:tcPr>
          <w:p>
            <w:r>
              <w:rPr>
                <w:b w:val="false"/>
                <w:bCs w:val="false"/>
                <w:i w:val="false"/>
                <w:iCs w:val="false"/>
                <w:sz w:val="19"/>
                <w:szCs w:val="19"/>
              </w:rPr>
              <w:t xml:space="preserve">70 %</w:t>
            </w:r>
          </w:p>
        </w:tc>
        <w:tc>
          <w:tcPr>
            <w:tcW w:type="dxa" w:w="1700"/>
            <w:tcMar>
              <w:top w:type="dxa" w:w="60"/>
              <w:left w:type="dxa" w:w="100"/>
              <w:bottom w:type="dxa" w:w="60"/>
              <w:right w:type="dxa" w:w="100"/>
            </w:tcMar>
          </w:tcPr>
          <w:p>
            <w:r>
              <w:rPr>
                <w:b w:val="false"/>
                <w:bCs w:val="false"/>
                <w:i w:val="false"/>
                <w:iCs w:val="false"/>
                <w:sz w:val="19"/>
                <w:szCs w:val="19"/>
              </w:rPr>
              <w:t xml:space="preserve">60 %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430</w:t>
            </w:r>
          </w:p>
        </w:tc>
        <w:tc>
          <w:tcPr>
            <w:tcW w:type="dxa" w:w="900"/>
            <w:tcMar>
              <w:top w:type="dxa" w:w="60"/>
              <w:left w:type="dxa" w:w="100"/>
              <w:bottom w:type="dxa" w:w="60"/>
              <w:right w:type="dxa" w:w="100"/>
            </w:tcMar>
          </w:tcPr>
          <w:p>
            <w:r>
              <w:rPr>
                <w:b w:val="false"/>
                <w:bCs w:val="false"/>
                <w:i w:val="false"/>
                <w:iCs w:val="false"/>
                <w:sz w:val="19"/>
                <w:szCs w:val="19"/>
              </w:rPr>
              <w:t xml:space="preserve">275</w:t>
            </w:r>
          </w:p>
        </w:tc>
        <w:tc>
          <w:tcPr>
            <w:tcW w:type="dxa" w:w="1200"/>
            <w:tcMar>
              <w:top w:type="dxa" w:w="60"/>
              <w:left w:type="dxa" w:w="100"/>
              <w:bottom w:type="dxa" w:w="60"/>
              <w:right w:type="dxa" w:w="100"/>
            </w:tcMar>
          </w:tcPr>
          <w:p>
            <w:r>
              <w:rPr>
                <w:b w:val="false"/>
                <w:bCs w:val="false"/>
                <w:i w:val="false"/>
                <w:iCs w:val="false"/>
                <w:sz w:val="19"/>
                <w:szCs w:val="19"/>
              </w:rPr>
              <w:t xml:space="preserve">64 %</w:t>
            </w:r>
          </w:p>
        </w:tc>
        <w:tc>
          <w:tcPr>
            <w:tcW w:type="dxa" w:w="1700"/>
            <w:tcMar>
              <w:top w:type="dxa" w:w="60"/>
              <w:left w:type="dxa" w:w="100"/>
              <w:bottom w:type="dxa" w:w="60"/>
              <w:right w:type="dxa" w:w="100"/>
            </w:tcMar>
          </w:tcPr>
          <w:p>
            <w:r>
              <w:rPr>
                <w:b w:val="false"/>
                <w:bCs w:val="false"/>
                <w:i w:val="false"/>
                <w:iCs w:val="false"/>
                <w:sz w:val="19"/>
                <w:szCs w:val="19"/>
              </w:rPr>
              <w:t xml:space="preserve">56 %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900</w:t>
            </w:r>
          </w:p>
        </w:tc>
        <w:tc>
          <w:tcPr>
            <w:tcW w:type="dxa" w:w="900"/>
            <w:tcMar>
              <w:top w:type="dxa" w:w="60"/>
              <w:left w:type="dxa" w:w="100"/>
              <w:bottom w:type="dxa" w:w="60"/>
              <w:right w:type="dxa" w:w="100"/>
            </w:tcMar>
          </w:tcPr>
          <w:p>
            <w:r>
              <w:rPr>
                <w:b w:val="false"/>
                <w:bCs w:val="false"/>
                <w:i w:val="false"/>
                <w:iCs w:val="false"/>
                <w:sz w:val="19"/>
                <w:szCs w:val="19"/>
              </w:rPr>
              <w:t xml:space="preserve">711</w:t>
            </w:r>
          </w:p>
        </w:tc>
        <w:tc>
          <w:tcPr>
            <w:tcW w:type="dxa" w:w="1200"/>
            <w:tcMar>
              <w:top w:type="dxa" w:w="60"/>
              <w:left w:type="dxa" w:w="100"/>
              <w:bottom w:type="dxa" w:w="60"/>
              <w:right w:type="dxa" w:w="100"/>
            </w:tcMar>
          </w:tcPr>
          <w:p>
            <w:r>
              <w:rPr>
                <w:b w:val="false"/>
                <w:bCs w:val="false"/>
                <w:i w:val="false"/>
                <w:iCs w:val="false"/>
                <w:sz w:val="19"/>
                <w:szCs w:val="19"/>
              </w:rPr>
              <w:t xml:space="preserve">79 %</w:t>
            </w:r>
          </w:p>
        </w:tc>
        <w:tc>
          <w:tcPr>
            <w:tcW w:type="dxa" w:w="1700"/>
            <w:tcMar>
              <w:top w:type="dxa" w:w="60"/>
              <w:left w:type="dxa" w:w="100"/>
              <w:bottom w:type="dxa" w:w="60"/>
              <w:right w:type="dxa" w:w="100"/>
            </w:tcMar>
          </w:tcPr>
          <w:p>
            <w:r>
              <w:rPr>
                <w:b w:val="false"/>
                <w:bCs w:val="false"/>
                <w:i w:val="false"/>
                <w:iCs w:val="false"/>
                <w:sz w:val="19"/>
                <w:szCs w:val="19"/>
              </w:rPr>
              <w:t xml:space="preserve">69 %</w:t>
            </w:r>
          </w:p>
        </w:tc>
        <w:tc>
          <w:tcPr>
            <w:tcW w:type="dxa" w:w="1900"/>
            <w:tcMar>
              <w:top w:type="dxa" w:w="60"/>
              <w:left w:type="dxa" w:w="100"/>
              <w:bottom w:type="dxa" w:w="60"/>
              <w:right w:type="dxa" w:w="100"/>
            </w:tcMar>
          </w:tcPr>
          <w:p>
            <w:r>
              <w:rPr>
                <w:b w:val="false"/>
                <w:bCs w:val="false"/>
                <w:i w:val="false"/>
                <w:iCs w:val="false"/>
                <w:sz w:val="19"/>
                <w:szCs w:val="19"/>
              </w:rPr>
              <w:t xml:space="preserve">33</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590</w:t>
            </w:r>
          </w:p>
        </w:tc>
        <w:tc>
          <w:tcPr>
            <w:tcW w:type="dxa" w:w="900"/>
            <w:tcMar>
              <w:top w:type="dxa" w:w="60"/>
              <w:left w:type="dxa" w:w="100"/>
              <w:bottom w:type="dxa" w:w="60"/>
              <w:right w:type="dxa" w:w="100"/>
            </w:tcMar>
          </w:tcPr>
          <w:p>
            <w:r>
              <w:rPr>
                <w:b w:val="false"/>
                <w:bCs w:val="false"/>
                <w:i w:val="false"/>
                <w:iCs w:val="false"/>
                <w:sz w:val="19"/>
                <w:szCs w:val="19"/>
              </w:rPr>
              <w:t xml:space="preserve">401</w:t>
            </w:r>
          </w:p>
        </w:tc>
        <w:tc>
          <w:tcPr>
            <w:tcW w:type="dxa" w:w="1200"/>
            <w:tcMar>
              <w:top w:type="dxa" w:w="60"/>
              <w:left w:type="dxa" w:w="100"/>
              <w:bottom w:type="dxa" w:w="60"/>
              <w:right w:type="dxa" w:w="100"/>
            </w:tcMar>
          </w:tcPr>
          <w:p>
            <w:r>
              <w:rPr>
                <w:b w:val="false"/>
                <w:bCs w:val="false"/>
                <w:i w:val="false"/>
                <w:iCs w:val="false"/>
                <w:sz w:val="19"/>
                <w:szCs w:val="19"/>
              </w:rPr>
              <w:t xml:space="preserve">68 %</w:t>
            </w:r>
          </w:p>
        </w:tc>
        <w:tc>
          <w:tcPr>
            <w:tcW w:type="dxa" w:w="1700"/>
            <w:tcMar>
              <w:top w:type="dxa" w:w="60"/>
              <w:left w:type="dxa" w:w="100"/>
              <w:bottom w:type="dxa" w:w="60"/>
              <w:right w:type="dxa" w:w="100"/>
            </w:tcMar>
          </w:tcPr>
          <w:p>
            <w:r>
              <w:rPr>
                <w:b w:val="false"/>
                <w:bCs w:val="false"/>
                <w:i w:val="false"/>
                <w:iCs w:val="false"/>
                <w:sz w:val="19"/>
                <w:szCs w:val="19"/>
              </w:rPr>
              <w:t xml:space="preserve">59 %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610</w:t>
            </w:r>
          </w:p>
        </w:tc>
        <w:tc>
          <w:tcPr>
            <w:tcW w:type="dxa" w:w="900"/>
            <w:tcMar>
              <w:top w:type="dxa" w:w="60"/>
              <w:left w:type="dxa" w:w="100"/>
              <w:bottom w:type="dxa" w:w="60"/>
              <w:right w:type="dxa" w:w="100"/>
            </w:tcMar>
          </w:tcPr>
          <w:p>
            <w:r>
              <w:rPr>
                <w:b w:val="false"/>
                <w:bCs w:val="false"/>
                <w:i w:val="false"/>
                <w:iCs w:val="false"/>
                <w:sz w:val="19"/>
                <w:szCs w:val="19"/>
              </w:rPr>
              <w:t xml:space="preserve">439</w:t>
            </w:r>
          </w:p>
        </w:tc>
        <w:tc>
          <w:tcPr>
            <w:tcW w:type="dxa" w:w="1200"/>
            <w:tcMar>
              <w:top w:type="dxa" w:w="60"/>
              <w:left w:type="dxa" w:w="100"/>
              <w:bottom w:type="dxa" w:w="60"/>
              <w:right w:type="dxa" w:w="100"/>
            </w:tcMar>
          </w:tcPr>
          <w:p>
            <w:r>
              <w:rPr>
                <w:b w:val="false"/>
                <w:bCs w:val="false"/>
                <w:i w:val="false"/>
                <w:iCs w:val="false"/>
                <w:sz w:val="19"/>
                <w:szCs w:val="19"/>
              </w:rPr>
              <w:t xml:space="preserve">72 %</w:t>
            </w:r>
          </w:p>
        </w:tc>
        <w:tc>
          <w:tcPr>
            <w:tcW w:type="dxa" w:w="1700"/>
            <w:tcMar>
              <w:top w:type="dxa" w:w="60"/>
              <w:left w:type="dxa" w:w="100"/>
              <w:bottom w:type="dxa" w:w="60"/>
              <w:right w:type="dxa" w:w="100"/>
            </w:tcMar>
          </w:tcPr>
          <w:p>
            <w:r>
              <w:rPr>
                <w:b w:val="false"/>
                <w:bCs w:val="false"/>
                <w:i w:val="false"/>
                <w:iCs w:val="false"/>
                <w:sz w:val="19"/>
                <w:szCs w:val="19"/>
              </w:rPr>
              <w:t xml:space="preserve">63 %</w:t>
            </w:r>
          </w:p>
        </w:tc>
        <w:tc>
          <w:tcPr>
            <w:tcW w:type="dxa" w:w="1900"/>
            <w:tcMar>
              <w:top w:type="dxa" w:w="60"/>
              <w:left w:type="dxa" w:w="100"/>
              <w:bottom w:type="dxa" w:w="60"/>
              <w:right w:type="dxa" w:w="100"/>
            </w:tcMar>
          </w:tcPr>
          <w:p>
            <w:r>
              <w:rPr>
                <w:b w:val="false"/>
                <w:bCs w:val="false"/>
                <w:i w:val="false"/>
                <w:iCs w:val="false"/>
                <w:sz w:val="19"/>
                <w:szCs w:val="19"/>
              </w:rPr>
              <w:t xml:space="preserve">12</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240</w:t>
            </w:r>
          </w:p>
        </w:tc>
        <w:tc>
          <w:tcPr>
            <w:tcW w:type="dxa" w:w="900"/>
            <w:tcMar>
              <w:top w:type="dxa" w:w="60"/>
              <w:left w:type="dxa" w:w="100"/>
              <w:bottom w:type="dxa" w:w="60"/>
              <w:right w:type="dxa" w:w="100"/>
            </w:tcMar>
          </w:tcPr>
          <w:p>
            <w:r>
              <w:rPr>
                <w:b w:val="false"/>
                <w:bCs w:val="false"/>
                <w:i w:val="false"/>
                <w:iCs w:val="false"/>
                <w:sz w:val="19"/>
                <w:szCs w:val="19"/>
              </w:rPr>
              <w:t xml:space="preserve">139</w:t>
            </w:r>
          </w:p>
        </w:tc>
        <w:tc>
          <w:tcPr>
            <w:tcW w:type="dxa" w:w="1200"/>
            <w:tcMar>
              <w:top w:type="dxa" w:w="60"/>
              <w:left w:type="dxa" w:w="100"/>
              <w:bottom w:type="dxa" w:w="60"/>
              <w:right w:type="dxa" w:w="100"/>
            </w:tcMar>
          </w:tcPr>
          <w:p>
            <w:r>
              <w:rPr>
                <w:b w:val="false"/>
                <w:bCs w:val="false"/>
                <w:i w:val="false"/>
                <w:iCs w:val="false"/>
                <w:sz w:val="19"/>
                <w:szCs w:val="19"/>
              </w:rPr>
              <w:t xml:space="preserve">58 %</w:t>
            </w:r>
          </w:p>
        </w:tc>
        <w:tc>
          <w:tcPr>
            <w:tcW w:type="dxa" w:w="1700"/>
            <w:tcMar>
              <w:top w:type="dxa" w:w="60"/>
              <w:left w:type="dxa" w:w="100"/>
              <w:bottom w:type="dxa" w:w="60"/>
              <w:right w:type="dxa" w:w="100"/>
            </w:tcMar>
          </w:tcPr>
          <w:p>
            <w:r>
              <w:rPr>
                <w:b w:val="false"/>
                <w:bCs w:val="false"/>
                <w:i w:val="false"/>
                <w:iCs w:val="false"/>
                <w:sz w:val="19"/>
                <w:szCs w:val="19"/>
              </w:rPr>
              <w:t xml:space="preserve">57 %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720</w:t>
            </w:r>
          </w:p>
        </w:tc>
        <w:tc>
          <w:tcPr>
            <w:tcW w:type="dxa" w:w="900"/>
            <w:tcMar>
              <w:top w:type="dxa" w:w="60"/>
              <w:left w:type="dxa" w:w="100"/>
              <w:bottom w:type="dxa" w:w="60"/>
              <w:right w:type="dxa" w:w="100"/>
            </w:tcMar>
          </w:tcPr>
          <w:p>
            <w:r>
              <w:rPr>
                <w:b w:val="false"/>
                <w:bCs w:val="false"/>
                <w:i w:val="false"/>
                <w:iCs w:val="false"/>
                <w:sz w:val="19"/>
                <w:szCs w:val="19"/>
              </w:rPr>
              <w:t xml:space="preserve">331</w:t>
            </w:r>
          </w:p>
        </w:tc>
        <w:tc>
          <w:tcPr>
            <w:tcW w:type="dxa" w:w="1200"/>
            <w:tcMar>
              <w:top w:type="dxa" w:w="60"/>
              <w:left w:type="dxa" w:w="100"/>
              <w:bottom w:type="dxa" w:w="60"/>
              <w:right w:type="dxa" w:w="100"/>
            </w:tcMar>
          </w:tcPr>
          <w:p>
            <w:r>
              <w:rPr>
                <w:b w:val="false"/>
                <w:bCs w:val="false"/>
                <w:i w:val="false"/>
                <w:iCs w:val="false"/>
                <w:sz w:val="19"/>
                <w:szCs w:val="19"/>
              </w:rPr>
              <w:t xml:space="preserve">46 %</w:t>
            </w:r>
          </w:p>
        </w:tc>
        <w:tc>
          <w:tcPr>
            <w:tcW w:type="dxa" w:w="1700"/>
            <w:tcMar>
              <w:top w:type="dxa" w:w="60"/>
              <w:left w:type="dxa" w:w="100"/>
              <w:bottom w:type="dxa" w:w="60"/>
              <w:right w:type="dxa" w:w="100"/>
            </w:tcMar>
          </w:tcPr>
          <w:p>
            <w:r>
              <w:rPr>
                <w:b w:val="false"/>
                <w:bCs w:val="false"/>
                <w:i w:val="false"/>
                <w:iCs w:val="false"/>
                <w:sz w:val="19"/>
                <w:szCs w:val="19"/>
              </w:rPr>
              <w:t xml:space="preserve">52 %</w:t>
            </w:r>
          </w:p>
        </w:tc>
        <w:tc>
          <w:tcPr>
            <w:tcW w:type="dxa" w:w="1900"/>
            <w:tcMar>
              <w:top w:type="dxa" w:w="60"/>
              <w:left w:type="dxa" w:w="100"/>
              <w:bottom w:type="dxa" w:w="60"/>
              <w:right w:type="dxa" w:w="100"/>
            </w:tcMar>
          </w:tcPr>
          <w:p>
            <w:r>
              <w:rPr>
                <w:b w:val="false"/>
                <w:bCs w:val="false"/>
                <w:i w:val="false"/>
                <w:iCs w:val="false"/>
                <w:sz w:val="19"/>
                <w:szCs w:val="19"/>
              </w:rPr>
              <w:t xml:space="preserve">11</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650</w:t>
            </w:r>
          </w:p>
        </w:tc>
        <w:tc>
          <w:tcPr>
            <w:tcW w:type="dxa" w:w="900"/>
            <w:tcMar>
              <w:top w:type="dxa" w:w="60"/>
              <w:left w:type="dxa" w:w="100"/>
              <w:bottom w:type="dxa" w:w="60"/>
              <w:right w:type="dxa" w:w="100"/>
            </w:tcMar>
          </w:tcPr>
          <w:p>
            <w:r>
              <w:rPr>
                <w:b w:val="false"/>
                <w:bCs w:val="false"/>
                <w:i w:val="false"/>
                <w:iCs w:val="false"/>
                <w:sz w:val="19"/>
                <w:szCs w:val="19"/>
              </w:rPr>
              <w:t xml:space="preserve">429</w:t>
            </w:r>
          </w:p>
        </w:tc>
        <w:tc>
          <w:tcPr>
            <w:tcW w:type="dxa" w:w="1200"/>
            <w:tcMar>
              <w:top w:type="dxa" w:w="60"/>
              <w:left w:type="dxa" w:w="100"/>
              <w:bottom w:type="dxa" w:w="60"/>
              <w:right w:type="dxa" w:w="100"/>
            </w:tcMar>
          </w:tcPr>
          <w:p>
            <w:r>
              <w:rPr>
                <w:b w:val="false"/>
                <w:bCs w:val="false"/>
                <w:i w:val="false"/>
                <w:iCs w:val="false"/>
                <w:sz w:val="19"/>
                <w:szCs w:val="19"/>
              </w:rPr>
              <w:t xml:space="preserve">66 %</w:t>
            </w:r>
          </w:p>
        </w:tc>
        <w:tc>
          <w:tcPr>
            <w:tcW w:type="dxa" w:w="1700"/>
            <w:tcMar>
              <w:top w:type="dxa" w:w="60"/>
              <w:left w:type="dxa" w:w="100"/>
              <w:bottom w:type="dxa" w:w="60"/>
              <w:right w:type="dxa" w:w="100"/>
            </w:tcMar>
          </w:tcPr>
          <w:p>
            <w:r>
              <w:rPr>
                <w:b w:val="false"/>
                <w:bCs w:val="false"/>
                <w:i w:val="false"/>
                <w:iCs w:val="false"/>
                <w:sz w:val="19"/>
                <w:szCs w:val="19"/>
              </w:rPr>
              <w:t xml:space="preserve">55 %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540</w:t>
            </w:r>
          </w:p>
        </w:tc>
        <w:tc>
          <w:tcPr>
            <w:tcW w:type="dxa" w:w="900"/>
            <w:tcMar>
              <w:top w:type="dxa" w:w="60"/>
              <w:left w:type="dxa" w:w="100"/>
              <w:bottom w:type="dxa" w:w="60"/>
              <w:right w:type="dxa" w:w="100"/>
            </w:tcMar>
          </w:tcPr>
          <w:p>
            <w:r>
              <w:rPr>
                <w:b w:val="false"/>
                <w:bCs w:val="false"/>
                <w:i w:val="false"/>
                <w:iCs w:val="false"/>
                <w:sz w:val="19"/>
                <w:szCs w:val="19"/>
              </w:rPr>
              <w:t xml:space="preserve">394</w:t>
            </w:r>
          </w:p>
        </w:tc>
        <w:tc>
          <w:tcPr>
            <w:tcW w:type="dxa" w:w="1200"/>
            <w:tcMar>
              <w:top w:type="dxa" w:w="60"/>
              <w:left w:type="dxa" w:w="100"/>
              <w:bottom w:type="dxa" w:w="60"/>
              <w:right w:type="dxa" w:w="100"/>
            </w:tcMar>
          </w:tcPr>
          <w:p>
            <w:r>
              <w:rPr>
                <w:b w:val="false"/>
                <w:bCs w:val="false"/>
                <w:i w:val="false"/>
                <w:iCs w:val="false"/>
                <w:sz w:val="19"/>
                <w:szCs w:val="19"/>
              </w:rPr>
              <w:t xml:space="preserve">73 %</w:t>
            </w:r>
          </w:p>
        </w:tc>
        <w:tc>
          <w:tcPr>
            <w:tcW w:type="dxa" w:w="1700"/>
            <w:tcMar>
              <w:top w:type="dxa" w:w="60"/>
              <w:left w:type="dxa" w:w="100"/>
              <w:bottom w:type="dxa" w:w="60"/>
              <w:right w:type="dxa" w:w="100"/>
            </w:tcMar>
          </w:tcPr>
          <w:p>
            <w:r>
              <w:rPr>
                <w:b w:val="false"/>
                <w:bCs w:val="false"/>
                <w:i w:val="false"/>
                <w:iCs w:val="false"/>
                <w:sz w:val="19"/>
                <w:szCs w:val="19"/>
              </w:rPr>
              <w:t xml:space="preserve">65 %</w:t>
            </w:r>
          </w:p>
        </w:tc>
        <w:tc>
          <w:tcPr>
            <w:tcW w:type="dxa" w:w="1900"/>
            <w:tcMar>
              <w:top w:type="dxa" w:w="60"/>
              <w:left w:type="dxa" w:w="100"/>
              <w:bottom w:type="dxa" w:w="60"/>
              <w:right w:type="dxa" w:w="100"/>
            </w:tcMar>
          </w:tcPr>
          <w:p>
            <w:r>
              <w:rPr>
                <w:b w:val="false"/>
                <w:bCs w:val="false"/>
                <w:i w:val="false"/>
                <w:iCs w:val="false"/>
                <w:sz w:val="19"/>
                <w:szCs w:val="19"/>
              </w:rPr>
              <w:t xml:space="preserve">10</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870</w:t>
            </w:r>
          </w:p>
        </w:tc>
        <w:tc>
          <w:tcPr>
            <w:tcW w:type="dxa" w:w="900"/>
            <w:tcMar>
              <w:top w:type="dxa" w:w="60"/>
              <w:left w:type="dxa" w:w="100"/>
              <w:bottom w:type="dxa" w:w="60"/>
              <w:right w:type="dxa" w:w="100"/>
            </w:tcMar>
          </w:tcPr>
          <w:p>
            <w:r>
              <w:rPr>
                <w:b w:val="false"/>
                <w:bCs w:val="false"/>
                <w:i w:val="false"/>
                <w:iCs w:val="false"/>
                <w:sz w:val="19"/>
                <w:szCs w:val="19"/>
              </w:rPr>
              <w:t xml:space="preserve">809</w:t>
            </w:r>
          </w:p>
        </w:tc>
        <w:tc>
          <w:tcPr>
            <w:tcW w:type="dxa" w:w="1200"/>
            <w:tcMar>
              <w:top w:type="dxa" w:w="60"/>
              <w:left w:type="dxa" w:w="100"/>
              <w:bottom w:type="dxa" w:w="60"/>
              <w:right w:type="dxa" w:w="100"/>
            </w:tcMar>
          </w:tcPr>
          <w:p>
            <w:r>
              <w:rPr>
                <w:b w:val="false"/>
                <w:bCs w:val="false"/>
                <w:i w:val="false"/>
                <w:iCs w:val="false"/>
                <w:sz w:val="19"/>
                <w:szCs w:val="19"/>
              </w:rPr>
              <w:t xml:space="preserve">93 %</w:t>
            </w:r>
          </w:p>
        </w:tc>
        <w:tc>
          <w:tcPr>
            <w:tcW w:type="dxa" w:w="1700"/>
            <w:tcMar>
              <w:top w:type="dxa" w:w="60"/>
              <w:left w:type="dxa" w:w="100"/>
              <w:bottom w:type="dxa" w:w="60"/>
              <w:right w:type="dxa" w:w="100"/>
            </w:tcMar>
          </w:tcPr>
          <w:p>
            <w:r>
              <w:rPr>
                <w:b w:val="false"/>
                <w:bCs w:val="false"/>
                <w:i w:val="false"/>
                <w:iCs w:val="false"/>
                <w:sz w:val="19"/>
                <w:szCs w:val="19"/>
              </w:rPr>
              <w:t xml:space="preserve">64 %</w:t>
            </w:r>
          </w:p>
        </w:tc>
        <w:tc>
          <w:tcPr>
            <w:tcW w:type="dxa" w:w="1900"/>
            <w:tcMar>
              <w:top w:type="dxa" w:w="60"/>
              <w:left w:type="dxa" w:w="100"/>
              <w:bottom w:type="dxa" w:w="60"/>
              <w:right w:type="dxa" w:w="100"/>
            </w:tcMar>
          </w:tcPr>
          <w:p>
            <w:r>
              <w:rPr>
                <w:b w:val="false"/>
                <w:bCs w:val="false"/>
                <w:i w:val="false"/>
                <w:iCs w:val="false"/>
                <w:sz w:val="19"/>
                <w:szCs w:val="19"/>
              </w:rPr>
              <w:t xml:space="preserve">13</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520</w:t>
            </w:r>
          </w:p>
        </w:tc>
        <w:tc>
          <w:tcPr>
            <w:tcW w:type="dxa" w:w="900"/>
            <w:tcMar>
              <w:top w:type="dxa" w:w="60"/>
              <w:left w:type="dxa" w:w="100"/>
              <w:bottom w:type="dxa" w:w="60"/>
              <w:right w:type="dxa" w:w="100"/>
            </w:tcMar>
          </w:tcPr>
          <w:p>
            <w:r>
              <w:rPr>
                <w:b w:val="false"/>
                <w:bCs w:val="false"/>
                <w:i w:val="false"/>
                <w:iCs w:val="false"/>
                <w:sz w:val="19"/>
                <w:szCs w:val="19"/>
              </w:rPr>
              <w:t xml:space="preserve">369</w:t>
            </w:r>
          </w:p>
        </w:tc>
        <w:tc>
          <w:tcPr>
            <w:tcW w:type="dxa" w:w="1200"/>
            <w:tcMar>
              <w:top w:type="dxa" w:w="60"/>
              <w:left w:type="dxa" w:w="100"/>
              <w:bottom w:type="dxa" w:w="60"/>
              <w:right w:type="dxa" w:w="100"/>
            </w:tcMar>
          </w:tcPr>
          <w:p>
            <w:r>
              <w:rPr>
                <w:b w:val="false"/>
                <w:bCs w:val="false"/>
                <w:i w:val="false"/>
                <w:iCs w:val="false"/>
                <w:sz w:val="19"/>
                <w:szCs w:val="19"/>
              </w:rPr>
              <w:t xml:space="preserve">71 %</w:t>
            </w:r>
          </w:p>
        </w:tc>
        <w:tc>
          <w:tcPr>
            <w:tcW w:type="dxa" w:w="1700"/>
            <w:tcMar>
              <w:top w:type="dxa" w:w="60"/>
              <w:left w:type="dxa" w:w="100"/>
              <w:bottom w:type="dxa" w:w="60"/>
              <w:right w:type="dxa" w:w="100"/>
            </w:tcMar>
          </w:tcPr>
          <w:p>
            <w:r>
              <w:rPr>
                <w:b w:val="false"/>
                <w:bCs w:val="false"/>
                <w:i w:val="false"/>
                <w:iCs w:val="false"/>
                <w:sz w:val="19"/>
                <w:szCs w:val="19"/>
              </w:rPr>
              <w:t xml:space="preserve">61 %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500</w:t>
            </w:r>
          </w:p>
        </w:tc>
        <w:tc>
          <w:tcPr>
            <w:tcW w:type="dxa" w:w="900"/>
            <w:tcMar>
              <w:top w:type="dxa" w:w="60"/>
              <w:left w:type="dxa" w:w="100"/>
              <w:bottom w:type="dxa" w:w="60"/>
              <w:right w:type="dxa" w:w="100"/>
            </w:tcMar>
          </w:tcPr>
          <w:p>
            <w:r>
              <w:rPr>
                <w:b w:val="false"/>
                <w:bCs w:val="false"/>
                <w:i w:val="false"/>
                <w:iCs w:val="false"/>
                <w:sz w:val="19"/>
                <w:szCs w:val="19"/>
              </w:rPr>
              <w:t xml:space="preserve">335</w:t>
            </w:r>
          </w:p>
        </w:tc>
        <w:tc>
          <w:tcPr>
            <w:tcW w:type="dxa" w:w="1200"/>
            <w:tcMar>
              <w:top w:type="dxa" w:w="60"/>
              <w:left w:type="dxa" w:w="100"/>
              <w:bottom w:type="dxa" w:w="60"/>
              <w:right w:type="dxa" w:w="100"/>
            </w:tcMar>
          </w:tcPr>
          <w:p>
            <w:r>
              <w:rPr>
                <w:b w:val="false"/>
                <w:bCs w:val="false"/>
                <w:i w:val="false"/>
                <w:iCs w:val="false"/>
                <w:sz w:val="19"/>
                <w:szCs w:val="19"/>
              </w:rPr>
              <w:t xml:space="preserve">67 %</w:t>
            </w:r>
          </w:p>
        </w:tc>
        <w:tc>
          <w:tcPr>
            <w:tcW w:type="dxa" w:w="1700"/>
            <w:tcMar>
              <w:top w:type="dxa" w:w="60"/>
              <w:left w:type="dxa" w:w="100"/>
              <w:bottom w:type="dxa" w:w="60"/>
              <w:right w:type="dxa" w:w="100"/>
            </w:tcMar>
          </w:tcPr>
          <w:p>
            <w:r>
              <w:rPr>
                <w:b w:val="false"/>
                <w:bCs w:val="false"/>
                <w:i w:val="false"/>
                <w:iCs w:val="false"/>
                <w:sz w:val="19"/>
                <w:szCs w:val="19"/>
              </w:rPr>
              <w:t xml:space="preserve">58 %</w:t>
            </w:r>
          </w:p>
        </w:tc>
        <w:tc>
          <w:tcPr>
            <w:tcW w:type="dxa" w:w="1900"/>
            <w:tcMar>
              <w:top w:type="dxa" w:w="60"/>
              <w:left w:type="dxa" w:w="100"/>
              <w:bottom w:type="dxa" w:w="60"/>
              <w:right w:type="dxa" w:w="100"/>
            </w:tcMar>
          </w:tcPr>
          <w:p>
            <w:r>
              <w:rPr>
                <w:b w:val="false"/>
                <w:bCs w:val="false"/>
                <w:i w:val="false"/>
                <w:iCs w:val="false"/>
                <w:sz w:val="19"/>
                <w:szCs w:val="19"/>
              </w:rPr>
              <w:t xml:space="preserve">7</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350 (41 %)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790 (80 %)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250 (58 %)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450 (50 %)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en panne (référence pour glycémie)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610 (85 %)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300 (46 %)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380 (70 %)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en panne (référence pour glycémie)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pour situer les valeurs simulées</w:t>
      </w:r>
    </w:p>
    <w:p>
      <w:pPr>
        <w:rPr>
          <w:i/>
          <w:iCs/>
          <w:sz w:val="19"/>
          <w:szCs w:val="19"/>
        </w:rPr>
      </w:pPr>
      <w:r>
        <w:rPr>
          <w:i/>
          <w:iCs/>
          <w:sz w:val="19"/>
          <w:szCs w:val="19"/>
        </w:rPr>
        <w:t xml:space="preserve">Les valeurs simulées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2026-10-02T13:18:25.293Z</dcterms:created>
  <dcterms:modified xsi:type="dcterms:W3CDTF">2026-10-02T13:18:25.293Z</dcterms:modified>
</cp:coreProperties>
</file>

<file path=docProps/custom.xml><?xml version="1.0" encoding="utf-8"?>
<Properties xmlns="http://schemas.openxmlformats.org/officeDocument/2006/custom-properties" xmlns:vt="http://schemas.openxmlformats.org/officeDocument/2006/docPropsVTypes"/>
</file>