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La discussion du mémoire réel portera sur les résultats réels et ne reprendra rien de celle-ci.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140"/>
        <w:jc w:val="both"/>
      </w:pPr>
      <w:r>
        <w:rPr>
          <w:i w:val="false"/>
          <w:iCs w:val="false"/>
          <w:sz w:val="22"/>
          <w:szCs w:val="22"/>
        </w:rPr>
        <w:t xml:space="preserve">Le dépistage est « coupé en deux » : la tension est mesurée à chaque visite ; la glycémie, prévue pour toutes à la première CPN, relève du laboratoire, n'était effectivement réalisée que dans 5 centres sur 15 et n'est refaite nulle part de façon systématique à 24-28 semaines. L'explication est modulée à l'inverse des besoins (17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w:t>
      </w:r>
    </w:p>
    <w:p>
      <w:pPr>
        <w:spacing w:after="14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Or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a rattaché le glucomètre à la consultation des maladies chroniques. Deux programmes coexistent sans la jonction que la revue jugeait absente</w:t>
      </w:r>
      <w:r>
        <w:rPr>
          <w:sz w:val="22"/>
          <w:szCs w:val="22"/>
        </w:rPr>
        <w:t xml:space="preserve"> [63,64]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concordent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au contraire, la tension a été mesurée chez 93,5 % des femmes suivies dans la province de l'Est selon l'EDS 2025</w:t>
      </w:r>
      <w:r>
        <w:rPr>
          <w:sz w:val="22"/>
          <w:szCs w:val="22"/>
        </w:rPr>
        <w:t xml:space="preserve"> [73]</w:t>
      </w:r>
      <w:r>
        <w:rPr>
          <w:i w:val="false"/>
          <w:iCs w:val="false"/>
          <w:sz w:val="22"/>
          <w:szCs w:val="22"/>
        </w:rPr>
        <w:t xml:space="preserve"> : l'écart entre les deux dépistages tient à l'organisation plus qu'à la règle.</w:t>
      </w:r>
    </w:p>
    <w:p>
      <w:pPr>
        <w:spacing w:after="140"/>
        <w:jc w:val="both"/>
      </w:pPr>
      <w:r>
        <w:rPr>
          <w:i w:val="false"/>
          <w:iCs w:val="false"/>
          <w:sz w:val="22"/>
          <w:szCs w:val="22"/>
        </w:rPr>
        <w:t xml:space="preserve">La règle elle-même n'est pas en cause : le diabète fait partie des affections recherchées chez toutes les femmes à la première CPN et consignées au registre de maternité</w:t>
      </w:r>
      <w:r>
        <w:rPr>
          <w:sz w:val="22"/>
          <w:szCs w:val="22"/>
        </w:rPr>
        <w:t xml:space="preserve"> [74]</w:t>
      </w:r>
      <w:r>
        <w:rPr>
          <w:i w:val="false"/>
          <w:iCs w:val="false"/>
          <w:sz w:val="22"/>
          <w:szCs w:val="22"/>
        </w:rPr>
        <w:t xml:space="preserve">, et cette visite doit avoir lieu avant 12 semaines dans le modèle national à huit contacts, qui prévoit aussi un contact à 26 semaines</w:t>
      </w:r>
      <w:r>
        <w:rPr>
          <w:sz w:val="22"/>
          <w:szCs w:val="22"/>
        </w:rPr>
        <w:t xml:space="preserve"> [75]</w:t>
      </w:r>
      <w:r>
        <w:rPr>
          <w:i w:val="false"/>
          <w:iCs w:val="false"/>
          <w:sz w:val="22"/>
          <w:szCs w:val="22"/>
        </w:rPr>
        <w:t xml:space="preserve">. Deux limites tiennent à l'organisation. La première est matérielle : là où le laboratoire manque de bandelettes ou les réserve aux malades chroniques, même le test de la première CPN n'est pas fait, et la case du registre peut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[76]</w:t>
      </w:r>
      <w:r>
        <w:rPr>
          <w:i w:val="false"/>
          <w:iCs w:val="false"/>
          <w:sz w:val="22"/>
          <w:szCs w:val="22"/>
        </w:rPr>
        <w:t xml:space="preserv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[10,73]</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[77]</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[78]</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[79]</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[80]</w:t>
      </w:r>
      <w:r>
        <w:rPr>
          <w:i w:val="false"/>
          <w:iCs w:val="false"/>
          <w:sz w:val="22"/>
          <w:szCs w:val="22"/>
        </w:rPr>
        <w:t xml:space="preserve"> ; les contre-pratiques décrites rejoignent l'universalisme proportionné</w:t>
      </w:r>
      <w:r>
        <w:rPr>
          <w:sz w:val="22"/>
          <w:szCs w:val="22"/>
        </w:rPr>
        <w:t xml:space="preserve"> [81]</w:t>
      </w:r>
      <w:r>
        <w:rPr>
          <w:i w:val="false"/>
          <w:iCs w:val="false"/>
          <w:sz w:val="22"/>
          <w:szCs w:val="22"/>
        </w:rPr>
        <w:t xml:space="preserve">.</w:t>
      </w:r>
    </w:p>
    <w:p>
      <w:pPr>
        <w:pStyle w:val="Heading3"/>
        <w:spacing w:after="100" w:before="180"/>
      </w:pPr>
      <w:r>
        <w:t xml:space="preserve">6.2.3. Ce qui est compté, et ce qui le suit</w:t>
      </w:r>
    </w:p>
    <w:p>
      <w:pPr>
        <w:spacing w:after="14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[82]</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donne à ce mécanisme sa forme rwandaise : il rémunère les centres pour des volumes de services, dont la première CPN précoce et les quatre visites</w:t>
      </w:r>
      <w:r>
        <w:rPr>
          <w:sz w:val="22"/>
          <w:szCs w:val="22"/>
        </w:rPr>
        <w:t xml:space="preserve"> [74]</w:t>
      </w:r>
      <w:r>
        <w:rPr>
          <w:i w:val="false"/>
          <w:iCs w:val="false"/>
          <w:sz w:val="22"/>
          <w:szCs w:val="22"/>
        </w:rPr>
        <w:t xml:space="preserve">, et son évaluation a montré un effet plus net sur les services les mieux payés et les moins exigeants pour le prestataire</w:t>
      </w:r>
      <w:r>
        <w:rPr>
          <w:sz w:val="22"/>
          <w:szCs w:val="22"/>
        </w:rPr>
        <w:t xml:space="preserve"> [83]</w:t>
      </w:r>
      <w:r>
        <w:rPr>
          <w:i w:val="false"/>
          <w:iCs w:val="false"/>
          <w:sz w:val="22"/>
          <w:szCs w:val="22"/>
        </w:rPr>
        <w:t xml:space="preserve">. La détection, enfin, n'a de valeur que si la référence aboutit : les facteurs limitants inventoriés ailleurs</w:t>
      </w:r>
      <w:r>
        <w:rPr>
          <w:sz w:val="22"/>
          <w:szCs w:val="22"/>
        </w:rPr>
        <w:t xml:space="preserve"> [24-26]</w:t>
      </w:r>
      <w:r>
        <w:rPr>
          <w:i w:val="false"/>
          <w:iCs w:val="false"/>
          <w:sz w:val="22"/>
          <w:szCs w:val="22"/>
        </w:rPr>
        <w:t xml:space="preserve"> s'articulent ici en une chaîne — transport, décision du ménage, retour d'information —, dont les animatrices de santé maternelle, chargées dans chaque village de repérer les femmes enceintes et de les orienter vers la CPN</w:t>
      </w:r>
      <w:r>
        <w:rPr>
          <w:sz w:val="22"/>
          <w:szCs w:val="22"/>
        </w:rPr>
        <w:t xml:space="preserve"> [84]</w:t>
      </w:r>
      <w:r>
        <w:rPr>
          <w:i w:val="false"/>
          <w:iCs w:val="false"/>
          <w:sz w:val="22"/>
          <w:szCs w:val="22"/>
        </w:rPr>
        <w:t xml:space="preserve">, assurent parfois le dernier maillon (thème 7), en accord avec les pratiques de référence sous-optimales décrites au Rwanda, où moins de la moitié des prestataires citaient la prééclampsie parmi les motifs de référence urgente</w:t>
      </w:r>
      <w:r>
        <w:rPr>
          <w:sz w:val="22"/>
          <w:szCs w:val="22"/>
        </w:rPr>
        <w:t xml:space="preserve"> [80]</w:t>
      </w:r>
      <w:r>
        <w:rPr>
          <w:i w:val="false"/>
          <w:iCs w:val="false"/>
          <w:sz w:val="22"/>
          <w:szCs w:val="22"/>
        </w:rPr>
        <w:t xml:space="preserve">, alors que 82 % des décès maternels d'un hôpital de référence concernaient des femmes référées, dont 15 % par troubles hypertensifs</w:t>
      </w:r>
      <w:r>
        <w:rPr>
          <w:sz w:val="22"/>
          <w:szCs w:val="22"/>
        </w:rPr>
        <w:t xml:space="preserve"> [85]</w:t>
      </w:r>
      <w:r>
        <w:rPr>
          <w:i w:val="false"/>
          <w:iCs w:val="false"/>
          <w:sz w:val="22"/>
          <w:szCs w:val="22"/>
        </w:rPr>
        <w:t xml:space="preserve">, et le suivi s'interrompt à l'accouchement alors que la grossesse peut révéler ces affections</w:t>
      </w:r>
      <w:r>
        <w:rPr>
          <w:sz w:val="22"/>
          <w:szCs w:val="22"/>
        </w:rPr>
        <w:t xml:space="preserve"> [4,5]</w:t>
      </w:r>
      <w:r>
        <w:rPr>
          <w:i w:val="false"/>
          <w:iCs w:val="false"/>
          <w:sz w:val="22"/>
          <w:szCs w:val="22"/>
        </w:rPr>
        <w:t xml:space="preserve">.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14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140"/>
        <w:jc w:val="both"/>
      </w:pPr>
      <w:r>
        <w:rPr>
          <w:i w:val="false"/>
          <w:iCs w:val="false"/>
          <w:sz w:val="22"/>
          <w:szCs w:val="22"/>
        </w:rPr>
        <w:t xml:space="preserve">Sur les 81 codes de l'arbre final, 34 sont nés du matériau. Ils ne remettent pas en cause les deux ensembles du cadre, mais appellent trois révisions (tableau VIII),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le dispositif de contrôle comme condition systémique ; une articulation communautaire ; et trois dimensions de l'équité d'accès — au test, à l'explication, à la continuité.</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l'intrant accessible à la CPN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glycémie unique à la première CPN,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animatrices de santé maternelle (ASM),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keepNext/>
        <w:pageBreakBefore/>
        <w:spacing w:after="60" w:before="0" w:line="240" w:lineRule="auto"/>
        <w:jc w:val="center"/>
      </w:pPr>
      <w:r>
        <w:drawing>
          <wp:inline distT="0" distB="0" distL="0" distR="0">
            <wp:extent cx="4953000" cy="758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5819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VIII et des observations.</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(κ = 0,869 ; intra-codeur κ = 0,958)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des représentations professionnelles ; le point de vue des femmes reste hors champ. L'observation est exposée à un effet de présence</w:t>
      </w:r>
      <w:r>
        <w:rPr>
          <w:sz w:val="22"/>
          <w:szCs w:val="22"/>
        </w:rPr>
        <w:t xml:space="preserve"> [86]</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et l'étude, limitée à un district, ne se généralise pas. Les perspectives et suggestions sont présentées en conclusion.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74.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75.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76.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77.	Tudor Hart J. The inverse care law. Lancet. 1971;1(7696):405-12.</w:t>
      </w:r>
    </w:p>
    <w:p>
      <w:pPr>
        <w:spacing w:after="80"/>
        <w:ind w:left="567" w:hanging="567"/>
      </w:pPr>
      <w:r>
        <w:rPr>
          <w:sz w:val="20"/>
          <w:szCs w:val="20"/>
        </w:rPr>
        <w:t xml:space="preserve">78.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79.	Lipsky M. Street-level bureaucracy: dilemmas of the individual in public services. New York: Russell Sage Foundation; 1980.</w:t>
      </w:r>
    </w:p>
    <w:p>
      <w:pPr>
        <w:spacing w:after="80"/>
        <w:ind w:left="567" w:hanging="567"/>
      </w:pPr>
      <w:r>
        <w:rPr>
          <w:sz w:val="20"/>
          <w:szCs w:val="20"/>
        </w:rPr>
        <w:t xml:space="preserve">80.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81.	Marmot M, Allen J, Goldblatt P, Boyce T, McNeish D, Grady M, et al. Fair society, healthy lives: the Marmot Review. London: The Marmot Review; 2010.</w:t>
      </w:r>
    </w:p>
    <w:p>
      <w:pPr>
        <w:spacing w:after="80"/>
        <w:ind w:left="567" w:hanging="567"/>
      </w:pPr>
      <w:r>
        <w:rPr>
          <w:sz w:val="20"/>
          <w:szCs w:val="20"/>
        </w:rPr>
        <w:t xml:space="preserve">82.	Campbell DT. Assessing the impact of planned social change. Eval Program Plann. 1979;2(1):67-90.</w:t>
      </w:r>
    </w:p>
    <w:p>
      <w:pPr>
        <w:spacing w:after="80"/>
        <w:ind w:left="567" w:hanging="567"/>
      </w:pPr>
      <w:r>
        <w:rPr>
          <w:sz w:val="20"/>
          <w:szCs w:val="20"/>
        </w:rPr>
        <w:t xml:space="preserve">83.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84.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85.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86.	McCambridge J, Witton J, Elbourne DR. Systematic review of the Hawthorne effect: new concepts are needed to study research participation effects. J Clin Epidemiol. 2014;67(3):267-77.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bddf631cd3862186a85c96d714846dbe882e97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2026-10-02T13:17:27.179Z</dcterms:created>
  <dcterms:modified xsi:type="dcterms:W3CDTF">2026-10-02T13:17:27.179Z</dcterms:modified>
</cp:coreProperties>
</file>

<file path=docProps/custom.xml><?xml version="1.0" encoding="utf-8"?>
<Properties xmlns="http://schemas.openxmlformats.org/officeDocument/2006/custom-properties" xmlns:vt="http://schemas.openxmlformats.org/officeDocument/2006/docPropsVTypes"/>
</file>