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40" w:lineRule="auto"/>
        <w:jc w:val="center"/>
      </w:pPr>
      <w:r>
        <w:rPr>
          <w:b/>
          <w:bCs/>
          <w:sz w:val="22"/>
          <w:szCs w:val="22"/>
        </w:rPr>
        <w:t xml:space="preserve">UNIVERSITÉ DE PARAKOU</w:t>
      </w:r>
    </w:p>
    <w:p>
      <w:pPr>
        <w:spacing w:after="60" w:before="0" w:line="240" w:lineRule="auto"/>
        <w:jc w:val="center"/>
      </w:pPr>
      <w:r>
        <w:rPr>
          <w:b/>
          <w:bCs/>
          <w:sz w:val="22"/>
          <w:szCs w:val="22"/>
        </w:rPr>
        <w:t xml:space="preserve">ÉCOLE NATIONALE DE FORMATION DES TECHNICIENS SUPÉRIEURS EN SANTÉ PUBLIQUE ET EN SURVEILLANCE ÉPIDÉMIOLOGIQUE (ENATSE)</w:t>
      </w:r>
    </w:p>
    <w:p>
      <w:pPr>
        <w:spacing w:after="60" w:before="0" w:line="240" w:lineRule="auto"/>
        <w:jc w:val="center"/>
      </w:pPr>
      <w:r>
        <w:rPr>
          <w:sz w:val="22"/>
          <w:szCs w:val="22"/>
        </w:rPr>
        <w:t xml:space="preserve">Programme de Master en Santé publique</w:t>
      </w:r>
    </w:p>
    <w:p>
      <w:pPr>
        <w:spacing w:after="60" w:before="0" w:line="240" w:lineRule="auto"/>
        <w:jc w:val="center"/>
      </w:pPr>
      <w:r>
        <w:rPr>
          <w:sz w:val="22"/>
          <w:szCs w:val="22"/>
        </w:rPr>
        <w:t xml:space="preserve">Spécialité : Promotion de la santé</w:t>
      </w:r>
    </w:p>
    <w:p>
      <w:pPr>
        <w:spacing w:after="600" w:before="0" w:line="240" w:lineRule="auto"/>
        <w:jc w:val="center"/>
      </w:pPr>
      <w:r>
        <w:rPr>
          <w:sz w:val="22"/>
          <w:szCs w:val="22"/>
        </w:rPr>
        <w:t xml:space="preserve">Année académique : 2025-2026</w:t>
      </w:r>
    </w:p>
    <w:p>
      <w:pPr>
        <w:spacing w:after="60" w:before="0" w:line="240" w:lineRule="auto"/>
        <w:jc w:val="center"/>
      </w:pPr>
      <w:r>
        <w:rPr>
          <w:b/>
          <w:bCs/>
          <w:sz w:val="24"/>
          <w:szCs w:val="24"/>
        </w:rPr>
        <w:t xml:space="preserve">MÉMOIRE DE FIN DE FORMATION</w:t>
      </w:r>
    </w:p>
    <w:p>
      <w:pPr>
        <w:spacing w:after="60" w:before="240" w:line="240" w:lineRule="auto"/>
        <w:jc w:val="center"/>
      </w:pPr>
      <w:r>
        <w:rPr>
          <w:b/>
          <w:bCs/>
          <w:sz w:val="22"/>
          <w:szCs w:val="22"/>
        </w:rPr>
        <w:t xml:space="preserve">THÈME</w:t>
      </w:r>
    </w:p>
    <w:p>
      <w:pPr>
        <w:spacing w:after="600" w:before="0" w:line="240" w:lineRule="auto"/>
        <w:jc w:val="center"/>
      </w:pPr>
      <w:r>
        <w:rPr>
          <w:b/>
          <w:bCs/>
          <w:sz w:val="26"/>
          <w:szCs w:val="26"/>
        </w:rPr>
        <w:t xml:space="preserve">L'équité d'accès au dépistage capacitant de l'hypertension artérielle et du diabète en consultation prénatale : perceptions et pratiques déclarées des infirmiers et sages-femmes de Ngoma (Rwanda)</w:t>
      </w:r>
    </w:p>
    <w:p>
      <w:pPr>
        <w:spacing w:after="120" w:before="0" w:line="240" w:lineRule="auto"/>
        <w:jc w:val="center"/>
      </w:pPr>
      <w:r>
        <w:rPr>
          <w:b/>
          <w:bCs/>
          <w:sz w:val="32"/>
          <w:szCs w:val="32"/>
        </w:rPr>
        <w:t xml:space="preserve">CHAPITRE 5 — RÉSULTATS</w:t>
      </w:r>
    </w:p>
    <w:p>
      <w:pPr>
        <w:spacing w:after="600" w:before="0" w:line="240" w:lineRule="auto"/>
        <w:jc w:val="center"/>
      </w:pPr>
      <w:r>
        <w:rPr>
          <w:i/>
          <w:iCs/>
          <w:sz w:val="24"/>
          <w:szCs w:val="24"/>
        </w:rPr>
        <w:t xml:space="preserve">Document soumis à la validation de la directrice de mémoire</w:t>
      </w:r>
    </w:p>
    <w:p>
      <w:pPr>
        <w:spacing w:after="60" w:before="0" w:line="240" w:lineRule="auto"/>
        <w:jc w:val="center"/>
      </w:pPr>
      <w:r>
        <w:rPr>
          <w:sz w:val="22"/>
          <w:szCs w:val="22"/>
        </w:rPr>
        <w:t xml:space="preserve">Présenté par MUKAKI DUNIA Jacques</w:t>
      </w:r>
    </w:p>
    <w:p>
      <w:pPr>
        <w:spacing w:after="240" w:before="0" w:line="240" w:lineRule="auto"/>
        <w:jc w:val="center"/>
      </w:pPr>
      <w:r>
        <w:rPr>
          <w:sz w:val="22"/>
          <w:szCs w:val="22"/>
        </w:rPr>
        <w:t xml:space="preserve">Directrice de mémoire : Professeure N. Fanny M. HOUNKPONOU AHOUINGNAN</w:t>
      </w:r>
    </w:p>
    <w:p>
      <w:pPr>
        <w:spacing w:after="60" w:before="0" w:line="240" w:lineRule="auto"/>
        <w:jc w:val="center"/>
      </w:pPr>
      <w:r>
        <w:rPr>
          <w:i/>
          <w:iCs/>
          <w:sz w:val="20"/>
          <w:szCs w:val="20"/>
        </w:rPr>
        <w:t xml:space="preserve">Version du 3 octobre 2026</w:t>
      </w:r>
    </w:p>
    <w:p/>
    <w:p>
      <w:pPr>
        <w:spacing w:after="60" w:before="0" w:line="240" w:lineRule="auto"/>
        <w:jc w:val="center"/>
      </w:pPr>
      <w:r>
        <w:rPr>
          <w:i/>
          <w:iCs/>
          <w:sz w:val="18"/>
          <w:szCs w:val="18"/>
        </w:rPr>
        <w:t xml:space="preserve">Version d'entraînement — entretiens et observations fictifs, à remplacer par les données du terrain</w:t>
      </w:r>
    </w:p>
    <w:p>
      <w:pPr>
        <w:spacing w:line="240" w:lineRule="auto"/>
        <w:sectPr>
          <w:pgSz w:w="11906" w:h="16838" w:orient="portrait"/>
          <w:pgMar w:top="1418" w:right="1418" w:bottom="1418" w:left="1701" w:header="709" w:footer="709" w:gutter="0"/>
          <w:pgNumType/>
          <w:docGrid w:linePitch="360"/>
        </w:sectPr>
      </w:pPr>
    </w:p>
    <w:p>
      <w:pPr>
        <w:spacing w:after="240"/>
      </w:pPr>
      <w:r>
        <w:rPr>
          <w:i/>
          <w:iCs/>
        </w:rPr>
        <w:t xml:space="preserve">Ce chapitre est repris tel quel du mémoire complet. Les tableaux gardent leur numéro (IV à VI) : les tableaux I à III figurent au chapitre 4 (Cadre et méthodes). Les annexes citées sont celles du mémoire.</w:t>
      </w:r>
    </w:p>
    <w:p>
      <w:pPr>
        <w:pStyle w:val="Heading1"/>
        <w:spacing w:after="160" w:before="280"/>
      </w:pPr>
      <w:r>
        <w:t xml:space="preserve">5. RÉSULTATS</w:t>
      </w:r>
    </w:p>
    <w:p>
      <w:pPr>
        <w:spacing w:after="80"/>
        <w:jc w:val="both"/>
      </w:pPr>
      <w:r>
        <w:rPr>
          <w:i w:val="false"/>
          <w:iCs w:val="false"/>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80"/>
        <w:jc w:val="both"/>
      </w:pPr>
      <w:r>
        <w:rPr>
          <w:i w:val="false"/>
          <w:iCs w:val="false"/>
        </w:rPr>
        <w:t xml:space="preserve">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after="120" w:before="220"/>
      </w:pPr>
      <w:r>
        <w:t xml:space="preserve">5.1. Caractéristiques des participants et des centres</w:t>
      </w:r>
    </w:p>
    <w:p>
      <w:pPr>
        <w:spacing w:after="80"/>
        <w:jc w:val="both"/>
      </w:pPr>
      <w:r>
        <w:rPr>
          <w:i w:val="false"/>
          <w:iCs w:val="false"/>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rPr>
        <w:t xml:space="preserve">Tableau IV. Caractéristiques des participants (n = 20)</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1"/>
        <w:gridCol w:w="5866"/>
      </w:tblGrid>
      <w:tr>
        <w:trPr>
          <w:tblHeader/>
        </w:trPr>
        <w:tc>
          <w:tcPr>
            <w:tcW w:type="dxa" w:w="292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Caractéristique</w:t>
            </w:r>
          </w:p>
        </w:tc>
        <w:tc>
          <w:tcPr>
            <w:tcW w:type="dxa" w:w="5866"/>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Modalités (effectif)</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Qualification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infirmier : 6 ; infirmière : 4 ; sage-femme : 10</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Sexe</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féminin : 14 ; masculin : 6</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Tranche d'âge (ans)</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20-29 : 4 ; 30-39 : 8 ; 40-49 : 6 ; 50 et plus : 2</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Ancienneté totale</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&lt; 5 ans : 4 ; 5-10 ans : 8 ; &gt; 10 ans : 8</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Ancienneté en CPN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6 mois-2 ans : 6 ; &gt; 2 ans : 14</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Fonction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titulaire : 5 ; prestataire : 15</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Formation MNT reçue</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oui : 10 ; non : 8 ; ne sait pas : 2</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Langue de l'entretien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kinyarwanda : 16 ; français : 4</w:t>
            </w:r>
          </w:p>
        </w:tc>
      </w:tr>
      <w:tr>
        <w:trPr>
          <w:tblHeader w:val="off"/>
        </w:trPr>
        <w:tc>
          <w:tcPr>
            <w:tcW w:type="dxa" w:w="2921"/>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Vague de collecte</w:t>
            </w:r>
          </w:p>
        </w:tc>
        <w:tc>
          <w:tcPr>
            <w:tcW w:type="dxa" w:w="5866"/>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vague 1 : 10 ; vague 2 : 10</w:t>
            </w:r>
          </w:p>
        </w:tc>
      </w:tr>
    </w:tbl>
    <w:p>
      <w:pPr>
        <w:spacing w:after="200" w:before="60"/>
        <w:rPr>
          <w:sz w:val="22"/>
          <w:szCs w:val="22"/>
        </w:rPr>
      </w:pPr>
      <w:r>
        <w:rPr>
          <w:i/>
          <w:iCs/>
          <w:sz w:val="22"/>
          <w:szCs w:val="22"/>
        </w:rPr>
        <w:t xml:space="preserve">Source : fiches sociodémographiques (annexe 3).</w:t>
      </w:r>
    </w:p>
    <w:p>
      <w:pPr>
        <w:keepNext/>
        <w:spacing w:after="80" w:before="200"/>
      </w:pPr>
      <w:r>
        <w:rPr>
          <w:b/>
          <w:bCs/>
        </w:rPr>
        <w:t xml:space="preserve">Tableau V. Caractéristiques des centres de santé (n = 15)</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1"/>
        <w:gridCol w:w="5866"/>
      </w:tblGrid>
      <w:tr>
        <w:trPr>
          <w:tblHeader/>
        </w:trPr>
        <w:tc>
          <w:tcPr>
            <w:tcW w:type="dxa" w:w="292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Caractéristique</w:t>
            </w:r>
          </w:p>
        </w:tc>
        <w:tc>
          <w:tcPr>
            <w:tcW w:type="dxa" w:w="5866"/>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Modalités (nombre de centres)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Secteur d'implantation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urbain : 4 ; rural périphérique : 11</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Distance à l'hôpital</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proche : 4 ; éloignée : 11</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Volume d'activité prénatale</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élevé : 5 ; modéré : 10</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Profil de pauvreté du secteur</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plus faible : 4 ; plus élevée : 11</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Glucomètre du laboratoire</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 état : 13 ; en panne : 2</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Glucomètre propre à la CPN (urgences)</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oui : 6 ; non : 9</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de la première CPN (demandée en CPN, faite au laboratoire) le jour de l'observation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faite à toutes : 8 ; non faite : rupture de bandelettes : 3 ; non faite : glucomètre en panne : 2 ; non faite : laborantin absent : 2</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Rupture de bandelettes de glycémie (trois derniers mois)</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oui : 6 ; non : 9</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Test manqué noté pour être refait</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oui : 2 ; non : 13</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refaite systématiquement à 24-28 semaines</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oui : 0 ; non (sur facteurs de risque au mieux) : 15</w:t>
            </w:r>
          </w:p>
        </w:tc>
      </w:tr>
      <w:tr>
        <w:trPr>
          <w:tblHeader w:val="off"/>
        </w:trPr>
        <w:tc>
          <w:tcPr>
            <w:tcW w:type="dxa" w:w="2921"/>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Femmes reçues pendant la demi-journée</w:t>
            </w:r>
          </w:p>
        </w:tc>
        <w:tc>
          <w:tcPr>
            <w:tcW w:type="dxa" w:w="5866"/>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14 à 51</w:t>
            </w:r>
          </w:p>
        </w:tc>
      </w:tr>
    </w:tbl>
    <w:p>
      <w:pPr>
        <w:spacing w:after="200" w:before="60"/>
        <w:rPr>
          <w:sz w:val="22"/>
          <w:szCs w:val="22"/>
        </w:rPr>
      </w:pPr>
      <w:r>
        <w:rPr>
          <w:i/>
          <w:iCs/>
          <w:sz w:val="22"/>
          <w:szCs w:val="22"/>
        </w:rPr>
        <w:t xml:space="preserve">Source : grilles d'observation (annexe 2) et données de routine du district.</w:t>
      </w:r>
    </w:p>
    <w:p>
      <w:pPr>
        <w:spacing w:after="80"/>
        <w:jc w:val="both"/>
      </w:pPr>
      <w:r>
        <w:rPr>
          <w:i w:val="false"/>
          <w:iCs w:val="false"/>
        </w:rPr>
        <w:t xml:space="preserve">Le tensiomètre était présent en salle de CPN dans les 15 centres. La glycémie de la première CPN y est demandée pour toutes les femmes et faite par le laboratoire, dont le glucomètre était en état dans 13 centres et en panne dans 2.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80"/>
        <w:jc w:val="both"/>
      </w:pPr>
      <w:r>
        <w:rPr>
          <w:i w:val="false"/>
          <w:iCs w:val="false"/>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after="100" w:before="180"/>
      </w:pPr>
      <w:r>
        <w:t xml:space="preserve">5.2.2. Thème 1 — Un test pour toutes, sauf les jours où il manque quelque chose</w:t>
      </w:r>
    </w:p>
    <w:p>
      <w:pPr>
        <w:spacing w:after="80"/>
        <w:jc w:val="both"/>
      </w:pPr>
      <w:r>
        <w:rPr>
          <w:i w:val="false"/>
          <w:iCs w:val="false"/>
        </w:rPr>
        <w:t xml:space="preserve">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spacing w:after="80"/>
        <w:jc w:val="both"/>
      </w:pPr>
      <w:r>
        <w:rPr>
          <w:i w:val="false"/>
          <w:iCs w:val="false"/>
        </w:rPr>
        <w:t xml:space="preserve">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8 participants décrivent cette glycémie d'urgence, faite en CPN ou par le laborantin appelé dans la salle.</w:t>
      </w:r>
    </w:p>
    <w:p>
      <w:pPr>
        <w:spacing w:after="40" w:before="60" w:line="240" w:lineRule="auto"/>
        <w:ind w:left="567" w:right="567"/>
        <w:jc w:val="both"/>
        <w:rPr>
          <w:sz w:val="24"/>
          <w:szCs w:val="24"/>
        </w:rPr>
      </w:pPr>
      <w:r>
        <w:rPr>
          <w:i/>
          <w:iCs/>
          <w:sz w:val="24"/>
          <w:szCs w:val="24"/>
        </w:rPr>
        <w:t xml:space="preserve">« Mais le laboratoire ne prélève plus après midi. Celle qui arrive tard, ou qui attend trop longtemps chez nous, trouve un laboratoire qui ne reçoit plus personne pour les prélèvements ; la case du sucre reste vide, et personne ne la rappelle. »</w:t>
      </w:r>
    </w:p>
    <w:p>
      <w:pPr>
        <w:spacing w:after="160" w:line="240" w:lineRule="auto"/>
        <w:ind w:left="567" w:right="567"/>
        <w:jc w:val="right"/>
        <w:rPr>
          <w:sz w:val="24"/>
          <w:szCs w:val="24"/>
        </w:rPr>
      </w:pPr>
      <w:r>
        <w:rPr>
          <w:sz w:val="24"/>
          <w:szCs w:val="24"/>
        </w:rPr>
        <w:t xml:space="preserve">(P20, infirmier — traduit du kinyarwanda)</w:t>
      </w:r>
    </w:p>
    <w:p>
      <w:pPr>
        <w:spacing w:after="80"/>
        <w:jc w:val="both"/>
      </w:pPr>
      <w:r>
        <w:rPr>
          <w:i w:val="false"/>
          <w:iCs w:val="false"/>
        </w:rPr>
        <w:t xml:space="preserve">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spacing w:after="40" w:before="60" w:line="240" w:lineRule="auto"/>
        <w:ind w:left="567" w:right="567"/>
        <w:jc w:val="both"/>
        <w:rPr>
          <w:sz w:val="24"/>
          <w:szCs w:val="24"/>
        </w:rPr>
      </w:pPr>
      <w:r>
        <w:rPr>
          <w:i/>
          <w:iCs/>
          <w:sz w:val="24"/>
          <w:szCs w:val="24"/>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line="240" w:lineRule="auto"/>
        <w:ind w:left="567" w:right="567"/>
        <w:jc w:val="right"/>
        <w:rPr>
          <w:sz w:val="24"/>
          <w:szCs w:val="24"/>
        </w:rPr>
      </w:pPr>
      <w:r>
        <w:rPr>
          <w:sz w:val="24"/>
          <w:szCs w:val="24"/>
        </w:rPr>
        <w:t xml:space="preserve">(P01, infirmier — traduit du kinyarwanda)</w:t>
      </w:r>
    </w:p>
    <w:p>
      <w:pPr>
        <w:spacing w:after="80"/>
        <w:jc w:val="both"/>
      </w:pPr>
      <w:r>
        <w:rPr>
          <w:i w:val="false"/>
          <w:iCs w:val="false"/>
        </w:rPr>
        <w:t xml:space="preserve">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after="100" w:before="180"/>
      </w:pPr>
      <w:r>
        <w:t xml:space="preserve">5.2.3. Thème 2 — Expliquer moins à celles qui savent le moins</w:t>
      </w:r>
    </w:p>
    <w:p>
      <w:pPr>
        <w:spacing w:after="80"/>
        <w:jc w:val="both"/>
      </w:pPr>
      <w:r>
        <w:rPr>
          <w:i w:val="false"/>
          <w:iCs w:val="false"/>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80"/>
        <w:jc w:val="both"/>
      </w:pPr>
      <w:r>
        <w:rPr>
          <w:i w:val="false"/>
          <w:iCs w:val="false"/>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line="240" w:lineRule="auto"/>
        <w:ind w:left="567" w:right="567"/>
        <w:jc w:val="both"/>
        <w:rPr>
          <w:sz w:val="24"/>
          <w:szCs w:val="24"/>
        </w:rPr>
      </w:pPr>
      <w:r>
        <w:rPr>
          <w:i/>
          <w:iCs/>
          <w:sz w:val="24"/>
          <w:szCs w:val="24"/>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line="240" w:lineRule="auto"/>
        <w:ind w:left="567" w:right="567"/>
        <w:jc w:val="right"/>
        <w:rPr>
          <w:sz w:val="24"/>
          <w:szCs w:val="24"/>
        </w:rPr>
      </w:pPr>
      <w:r>
        <w:rPr>
          <w:sz w:val="24"/>
          <w:szCs w:val="24"/>
        </w:rPr>
        <w:t xml:space="preserve">(P04, infirmière — traduit du kinyarwanda)</w:t>
      </w:r>
    </w:p>
    <w:p>
      <w:pPr>
        <w:spacing w:after="80"/>
        <w:jc w:val="both"/>
      </w:pPr>
      <w:r>
        <w:rPr>
          <w:i w:val="false"/>
          <w:iCs w:val="false"/>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80"/>
        <w:jc w:val="both"/>
      </w:pPr>
      <w:r>
        <w:rPr>
          <w:i w:val="false"/>
          <w:iCs w:val="false"/>
        </w:rPr>
        <w:t xml:space="preserve">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spacing w:after="40" w:before="60" w:line="240" w:lineRule="auto"/>
        <w:ind w:left="567" w:right="567"/>
        <w:jc w:val="both"/>
        <w:rPr>
          <w:sz w:val="24"/>
          <w:szCs w:val="24"/>
        </w:rPr>
      </w:pPr>
      <w:r>
        <w:rPr>
          <w:i/>
          <w:iCs/>
          <w:sz w:val="24"/>
          <w:szCs w:val="24"/>
        </w:rPr>
        <w:t xml:space="preserve">« Les femmes des collines du fond arrivent à dix heures, parfois onze heures, après deux heures de marche. Elles ont raté la séance. Et ce sont justement celles qui en auraient le plus besoin. »</w:t>
      </w:r>
    </w:p>
    <w:p>
      <w:pPr>
        <w:spacing w:after="160" w:line="240" w:lineRule="auto"/>
        <w:ind w:left="567" w:right="567"/>
        <w:jc w:val="right"/>
        <w:rPr>
          <w:sz w:val="24"/>
          <w:szCs w:val="24"/>
        </w:rPr>
      </w:pPr>
      <w:r>
        <w:rPr>
          <w:sz w:val="24"/>
          <w:szCs w:val="24"/>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80"/>
        <w:jc w:val="both"/>
      </w:pPr>
      <w:r>
        <w:rPr>
          <w:i w:val="false"/>
          <w:iCs w:val="false"/>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80"/>
        <w:jc w:val="both"/>
      </w:pPr>
      <w:r>
        <w:rPr>
          <w:i w:val="false"/>
          <w:iCs w:val="false"/>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line="240" w:lineRule="auto"/>
        <w:ind w:left="567" w:right="567"/>
        <w:jc w:val="both"/>
        <w:rPr>
          <w:sz w:val="24"/>
          <w:szCs w:val="24"/>
        </w:rPr>
      </w:pPr>
      <w:r>
        <w:rPr>
          <w:i/>
          <w:iCs/>
          <w:sz w:val="24"/>
          <w:szCs w:val="24"/>
        </w:rPr>
        <w:t xml:space="preserve">« Le fer, on l'a toujours. La moustiquaire, on l'a toujours. Parce qu'ils sont dans les indicateurs. Les bandelettes de glycémie ne sont dans aucun indicateur, donc elles arrivent en dernier ou pas du tout. »</w:t>
      </w:r>
    </w:p>
    <w:p>
      <w:pPr>
        <w:spacing w:after="160" w:line="240" w:lineRule="auto"/>
        <w:ind w:left="567" w:right="567"/>
        <w:jc w:val="right"/>
        <w:rPr>
          <w:sz w:val="24"/>
          <w:szCs w:val="24"/>
        </w:rPr>
      </w:pPr>
      <w:r>
        <w:rPr>
          <w:sz w:val="24"/>
          <w:szCs w:val="24"/>
        </w:rPr>
        <w:t xml:space="preserve">(P07, sage-femme)</w:t>
      </w:r>
    </w:p>
    <w:p>
      <w:pPr>
        <w:pStyle w:val="Heading3"/>
        <w:spacing w:after="100" w:before="180"/>
      </w:pPr>
      <w:r>
        <w:t xml:space="preserve">5.3.3. Thème 5 — Ce que change la dotation, et ce qu'elle ne change pas</w:t>
      </w:r>
    </w:p>
    <w:p>
      <w:pPr>
        <w:spacing w:after="80"/>
        <w:jc w:val="both"/>
      </w:pPr>
      <w:r>
        <w:rPr>
          <w:i w:val="false"/>
          <w:iCs w:val="false"/>
        </w:rPr>
        <w:t xml:space="preserve">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after="100" w:before="180"/>
      </w:pPr>
      <w:r>
        <w:t xml:space="preserve">5.3.4. Thème 3 — Trouver sans pouvoir suivre</w:t>
      </w:r>
    </w:p>
    <w:p>
      <w:pPr>
        <w:spacing w:after="80"/>
        <w:jc w:val="both"/>
      </w:pPr>
      <w:r>
        <w:rPr>
          <w:i w:val="false"/>
          <w:iCs w:val="false"/>
        </w:rPr>
        <w:t xml:space="preserve">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spacing w:after="80"/>
        <w:jc w:val="both"/>
      </w:pPr>
      <w:r>
        <w:rPr>
          <w:i w:val="false"/>
          <w:iCs w:val="false"/>
        </w:rPr>
        <w:t xml:space="preserve">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spacing w:after="40" w:before="60" w:line="240" w:lineRule="auto"/>
        <w:ind w:left="567" w:right="567"/>
        <w:jc w:val="both"/>
        <w:rPr>
          <w:sz w:val="24"/>
          <w:szCs w:val="24"/>
        </w:rPr>
      </w:pPr>
      <w:r>
        <w:rPr>
          <w:i/>
          <w:iCs/>
          <w:sz w:val="24"/>
          <w:szCs w:val="24"/>
        </w:rPr>
        <w:t xml:space="preserve">« Mais ce sont des femmes de fonctionnaires ou de commerçants ; la femme qui cultive ne le pourra jamais, et c'est elle qui habite le plus loin. »</w:t>
      </w:r>
    </w:p>
    <w:p>
      <w:pPr>
        <w:spacing w:after="160" w:line="240" w:lineRule="auto"/>
        <w:ind w:left="567" w:right="567"/>
        <w:jc w:val="right"/>
        <w:rPr>
          <w:sz w:val="24"/>
          <w:szCs w:val="24"/>
        </w:rPr>
      </w:pPr>
      <w:r>
        <w:rPr>
          <w:sz w:val="24"/>
          <w:szCs w:val="24"/>
        </w:rPr>
        <w:t xml:space="preserve">(P11, sage-femme)</w:t>
      </w:r>
    </w:p>
    <w:p>
      <w:pPr>
        <w:pStyle w:val="Heading3"/>
        <w:spacing w:after="100" w:before="180"/>
      </w:pPr>
      <w:r>
        <w:t xml:space="preserve">5.3.5. Conditions sociales perçues</w:t>
      </w:r>
    </w:p>
    <w:p>
      <w:pPr>
        <w:spacing w:after="80"/>
        <w:jc w:val="both"/>
      </w:pPr>
      <w:r>
        <w:rPr>
          <w:i w:val="false"/>
          <w:iCs w:val="false"/>
        </w:rPr>
        <w:t xml:space="preserve">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after="100" w:before="180"/>
      </w:pPr>
      <w:r>
        <w:t xml:space="preserve">5.3.6. Thème 6 — Le registre comme écran</w:t>
      </w:r>
    </w:p>
    <w:p>
      <w:pPr>
        <w:spacing w:after="80"/>
        <w:jc w:val="both"/>
      </w:pPr>
      <w:r>
        <w:rPr>
          <w:i w:val="false"/>
          <w:iCs w:val="false"/>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line="240" w:lineRule="auto"/>
        <w:ind w:left="567" w:right="567"/>
        <w:jc w:val="both"/>
        <w:rPr>
          <w:sz w:val="24"/>
          <w:szCs w:val="24"/>
        </w:rPr>
      </w:pPr>
      <w:r>
        <w:rPr>
          <w:i/>
          <w:iCs/>
          <w:sz w:val="24"/>
          <w:szCs w:val="24"/>
        </w:rPr>
        <w:t xml:space="preserve">« Dans le registre, toutes les femmes ont une tension. Dans la réalité, certaines n'en ont pas eu. Le registre dit que tout est égal ; c'est faux. Une inégalité qu'on ne voit pas, personne ne la corrigera. »</w:t>
      </w:r>
    </w:p>
    <w:p>
      <w:pPr>
        <w:spacing w:after="160" w:line="240" w:lineRule="auto"/>
        <w:ind w:left="567" w:right="567"/>
        <w:jc w:val="right"/>
        <w:rPr>
          <w:sz w:val="24"/>
          <w:szCs w:val="24"/>
        </w:rPr>
      </w:pPr>
      <w:r>
        <w:rPr>
          <w:sz w:val="24"/>
          <w:szCs w:val="24"/>
        </w:rPr>
        <w:t xml:space="preserve">(P19)</w:t>
      </w:r>
    </w:p>
    <w:p>
      <w:pPr>
        <w:pStyle w:val="Heading3"/>
        <w:spacing w:after="100" w:before="180"/>
      </w:pPr>
      <w:r>
        <w:t xml:space="preserve">5.3.7. Thème 7 — Le dépistage hors des murs</w:t>
      </w:r>
    </w:p>
    <w:p>
      <w:pPr>
        <w:spacing w:after="80"/>
        <w:jc w:val="both"/>
      </w:pPr>
      <w:r>
        <w:rPr>
          <w:i w:val="false"/>
          <w:iCs w:val="false"/>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80"/>
        <w:jc w:val="both"/>
      </w:pPr>
      <w:r>
        <w:rPr>
          <w:i w:val="false"/>
          <w:iCs w:val="false"/>
        </w:rPr>
        <w:t xml:space="preserve">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spacing w:after="80"/>
        <w:jc w:val="both"/>
      </w:pPr>
      <w:r>
        <w:rPr>
          <w:i w:val="false"/>
          <w:iCs w:val="false"/>
        </w:rPr>
        <w:t xml:space="preserve">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after="120" w:before="220"/>
      </w:pPr>
      <w:r>
        <w:t xml:space="preserve">5.5. Triangulation et synthèse</w:t>
      </w:r>
    </w:p>
    <w:p>
      <w:pPr>
        <w:spacing w:after="80"/>
        <w:jc w:val="both"/>
      </w:pPr>
      <w:r>
        <w:rPr>
          <w:i w:val="false"/>
          <w:iCs w:val="false"/>
        </w:rPr>
        <w:t xml:space="preserve">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spacing w:after="80"/>
        <w:jc w:val="both"/>
      </w:pPr>
      <w:r>
        <w:rPr>
          <w:i w:val="false"/>
          <w:iCs w:val="false"/>
        </w:rPr>
        <w:t xml:space="preserve">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keepNext/>
        <w:spacing w:after="80" w:before="200"/>
      </w:pPr>
      <w:r>
        <w:rPr>
          <w:b/>
          <w:bCs/>
        </w:rPr>
        <w:t xml:space="preserve">Tableau VI. Synthèse des thèmes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15"/>
        <w:gridCol w:w="1460"/>
        <w:gridCol w:w="4211"/>
      </w:tblGrid>
      <w:tr>
        <w:trPr>
          <w:tblHeader/>
        </w:trPr>
        <w:tc>
          <w:tcPr>
            <w:tcW w:type="dxa" w:w="311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Thème</w:t>
            </w:r>
          </w:p>
        </w:tc>
        <w:tc>
          <w:tcPr>
            <w:tcW w:type="dxa" w:w="146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Objectif</w:t>
            </w:r>
          </w:p>
        </w:tc>
        <w:tc>
          <w:tcPr>
            <w:tcW w:type="dxa" w:w="421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Énoncé</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T1. Un test pour toutes, sauf les jours où il manque quelque chose</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T2. Expliquer moins à celles qui savent le moins</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L'explication varie à l'inverse des besoins ; la séance collective, égale pour les présentes, ne restitue aucun résultat.</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T3. Trouver sans pouvoir suivre</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 détection ne devient prise en charge que si la référence aboutit et si l'information revient ; l'autosurveillance après le diagnostic reste réservée aux ménages aisés.</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T4. Ce qui est compté existe</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Intrants, maintenance et attention suivent les indicateurs ; le dépistage n'en fait pas partie.</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T5. Ce que change la dotation, et ce qu'elle ne change pas</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Les intrants rendent le test initial régulier, pas le contrôle tardif ni l'explication.</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T6. Le registre comme écran</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 équité</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Un contrôle de complétude produit de la complétude et peut masquer l'inégalité.</w:t>
            </w:r>
          </w:p>
        </w:tc>
      </w:tr>
      <w:tr>
        <w:trPr>
          <w:tblHeader w:val="off"/>
        </w:trPr>
        <w:tc>
          <w:tcPr>
            <w:tcW w:type="dxa" w:w="3115"/>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T7. Le dépistage hors des murs</w:t>
            </w:r>
          </w:p>
        </w:tc>
        <w:tc>
          <w:tcPr>
            <w:tcW w:type="dxa" w:w="1460"/>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OS2, transformations</w:t>
            </w:r>
          </w:p>
        </w:tc>
        <w:tc>
          <w:tcPr>
            <w:tcW w:type="dxa" w:w="4211"/>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Les relais communautaires prolongent le dépistage ; l'alerte des ASM organise l'urgence, pas le contrôle.</w:t>
            </w:r>
          </w:p>
        </w:tc>
      </w:tr>
    </w:tbl>
    <w:p>
      <w:pPr>
        <w:spacing w:after="200" w:before="60"/>
        <w:rPr>
          <w:sz w:val="22"/>
          <w:szCs w:val="22"/>
        </w:rPr>
      </w:pPr>
      <w:r>
        <w:rPr>
          <w:i/>
          <w:iCs/>
          <w:sz w:val="22"/>
          <w:szCs w:val="22"/>
        </w:rPr>
        <w:t xml:space="preserve">Source : mémo « Phase 5 — Définition et dénomination des thèmes » du projet NVivo.</w:t>
      </w:r>
    </w:p>
    <w:sectPr>
      <w:footerReference w:type="default" r:id="rId6"/>
      <w:type w:val="nextPage"/>
      <w:pgSz w:w="11906" w:h="16838" w:orient="portrait"/>
      <w:pgMar w:top="1418" w:right="1418" w:bottom="1418"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MÉMOIRE NGOMA — MUKAKI DUNIA Jacques · chapitre 5 · version d'entraînement ·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2026-10-03T09:39:31.722Z</dcterms:created>
  <dcterms:modified xsi:type="dcterms:W3CDTF">2026-10-03T09:39:31.722Z</dcterms:modified>
</cp:coreProperties>
</file>

<file path=docProps/custom.xml><?xml version="1.0" encoding="utf-8"?>
<Properties xmlns="http://schemas.openxmlformats.org/officeDocument/2006/custom-properties" xmlns:vt="http://schemas.openxmlformats.org/officeDocument/2006/docPropsVTypes"/>
</file>