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Protocole révisé du 3 octobre 2026 (deux fichiers : avec suivi des modifications, et version propre) : il reporte toutes les décisions déjà intégrées au mémoire (quinze centres retenus et pré-test dans le seizième ; centres nommés ; périmètre de la CPN ; entretiens notés sans enregistrement ni transcripteur ; rubriques A bis et B bis de la grille ; relances du guide ; carte du NISR ; coquille « capacitances » ; durée de l'entretien harmonisée à soixante minutes, soixante-quinze au plus ; budget ramené à 410 000 RWF (enregistreur et transcription retirés ; licence NVivo maintenue)) et décrit le circuit de la glycémie en introduction. À soumettre à la direction de mémoire puis au comité d'éthique AVANT toute collecte ; les formulaires signés sur le terrain doivent être ceux du protocole révisé</w:t>
      </w:r>
    </w:p>
    <w:p>
      <w:pPr>
        <w:pStyle w:val="ListParagraph"/>
        <w:numPr>
          <w:ilvl w:val="0"/>
          <w:numId w:val="1"/>
        </w:numPr>
        <w:spacing w:after="80"/>
      </w:pPr>
      <w:r>
        <w:rPr>
          <w:sz w:val="22"/>
          <w:szCs w:val="22"/>
        </w:rPr>
        <w:t xml:space="preserve">Périmètre de la CPN : la phrase du protocole initial « la consultation prénatale n'est assurée qu'au niveau des centres de santé ; les postes de santé n'en dispensent pas et l'hôpital n'organise pas de service prénatal [21] » n'a pu être confirmée par aucune source ; le protocole révisé et le mémoire écrivent, d'après Mulungi et al. (2023, texte intégral vérifié dans PubMed, désormais référence 72 du protocole), que la CPN de base est offerte dans les centres et les postes de santé, et que l'étude porte sur les centres de santé. La capacité de 312 lits citée au § 4.1.2 [21] figure sur la page « Overview » du site de l'hôpital de Kibungo (relevée par un moteur de recherche le 3 octobre 2026, la page elle-même étant inaccessible depuis l'outil de rédaction) : la vérifier sur la page</w:t>
      </w:r>
    </w:p>
    <w:p>
      <w:pPr>
        <w:pStyle w:val="ListParagraph"/>
        <w:numPr>
          <w:ilvl w:val="0"/>
          <w:numId w:val="1"/>
        </w:numPr>
        <w:spacing w:after="80"/>
      </w:pPr>
      <w:r>
        <w:rPr>
          <w:sz w:val="22"/>
          <w:szCs w:val="22"/>
        </w:rPr>
        <w:t xml:space="preserve">Centres nommés (décision de l'auteur du 3 octobre 2026) : le § 4.1.2 du protocole révisé et du mémoire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 le guide (introduction) et le consentement (points 6 et 10) sont adaptés. Faire valider par la direction de mémoire et le comité d'éthique, et confirmer la liste par écrit auprès de la Direction de la santé du district (annexe 6, étape 2). Les centres sont seulement nommés, sans leur secteur administratif (décision de l'auteur)</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ni le tableau de cohérence (annexe 8 du protocole) ni le modèle d'engagement de confidentialité (annexe 7 du protocole, auquel le consentement renvoie) ne sont reproduits : à valider avec la direction de mémoire.</w:t>
      </w:r>
    </w:p>
    <w:p>
      <w:pPr>
        <w:pStyle w:val="ListParagraph"/>
        <w:numPr>
          <w:ilvl w:val="0"/>
          <w:numId w:val="1"/>
        </w:numPr>
        <w:spacing w:after="80"/>
      </w:pPr>
      <w:r>
        <w:rPr>
          <w:sz w:val="22"/>
          <w:szCs w:val="22"/>
        </w:rPr>
        <w:t xml:space="preserve">Entretiens sans enregistrement audio : décrits au § 4.2.5-4.2.7 du protocole révisé et du mémoire ; guide, consentement, engagement de confidentialité, registre des consentements, projet d'analyse d'entraînement (mémo de fidélité des notes) et kit de terrain sont adaptés (plus d'enregistreur, de transcripteur ni d'accord d'enregistrement). Une troisième limite (perte du verbatim) est ajoutée au § 4.2.6 du protocole</w:t>
      </w:r>
    </w:p>
    <w:p>
      <w:pPr>
        <w:pStyle w:val="ListParagraph"/>
        <w:numPr>
          <w:ilvl w:val="0"/>
          <w:numId w:val="1"/>
        </w:numPr>
        <w:spacing w:after="80"/>
      </w:pPr>
      <w:r>
        <w:rPr>
          <w:sz w:val="22"/>
          <w:szCs w:val="22"/>
        </w:rPr>
        <w:t xml:space="preserve">Rubrique « Glycémie de la première CPN » (B bis : faite ou non, motif, rattrapage, données de service sans relevé nominatif) : inscrite dans la grille d'observation du protocole révisé (annexe 2) ; à faire valider</w:t>
      </w:r>
    </w:p>
    <w:p>
      <w:pPr>
        <w:pStyle w:val="ListParagraph"/>
        <w:numPr>
          <w:ilvl w:val="0"/>
          <w:numId w:val="1"/>
        </w:numPr>
        <w:spacing w:after="80"/>
      </w:pPr>
      <w:r>
        <w:rPr>
          <w:sz w:val="22"/>
          <w:szCs w:val="22"/>
        </w:rPr>
        <w:t xml:space="preserve">Rubrique « Séance d'éducation collective » (A bis) : inscrite dans la grille du protocole révisé, avec une garde éthique ajoutée au § 4.2.7 et dans l'annexe 2 (observée seulement avec l'accord de l'animateur, les femmes présentes en étant informées oralement, sans aucune donnée sur elles) ; à faire valider par le comité d'éthique, qui peut exiger davantage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73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Période de collecte (§ 4.2.5.3 du protocole : 11 août au 30 septembre 2026) et chronogramme : dates à actualiser selon la date réelle des approbations, la collecte ne pouvant commencer qu'après elles.</w:t>
      </w:r>
    </w:p>
    <w:p>
      <w:pPr>
        <w:pStyle w:val="ListParagraph"/>
        <w:numPr>
          <w:ilvl w:val="0"/>
          <w:numId w:val="1"/>
        </w:numPr>
        <w:spacing w:after="80"/>
      </w:pPr>
      <w:r>
        <w:rPr>
          <w:sz w:val="22"/>
          <w:szCs w:val="22"/>
        </w:rPr>
        <w:t xml:space="preserve">Logiciel d'analyse : NVivo, nommé dans le protocole, le mémoire et le rapport (décision de l'auteur : QualiCode, qui fonctionne comme NVivo mais n'a pas d'homologation scientifique, sert à l'entraînement). L'analyse réelle doit donc être conduite dans NVivo, ou le projet y être transféré (export REFI-QDA) avant l'analyse et l'archivage.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2026-10-03T09:56:13.916Z</dcterms:created>
  <dcterms:modified xsi:type="dcterms:W3CDTF">2026-10-03T09:56:13.916Z</dcterms:modified>
</cp:coreProperties>
</file>

<file path=docProps/custom.xml><?xml version="1.0" encoding="utf-8"?>
<Properties xmlns="http://schemas.openxmlformats.org/officeDocument/2006/custom-properties" xmlns:vt="http://schemas.openxmlformats.org/officeDocument/2006/docPropsVTypes"/>
</file>