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00" w:after="100"/>
        <w:jc w:val="center"/>
        <w:rPr/>
      </w:pPr>
      <w:r>
        <w:rPr>
          <w:b/>
          <w:bCs/>
        </w:rPr>
        <w:t>UNIVERSITÉ DE PARAKOU — ENATSE</w:t>
      </w:r>
    </w:p>
    <w:p>
      <w:pPr>
        <w:pStyle w:val="Normal"/>
        <w:spacing w:before="0" w:after="300"/>
        <w:jc w:val="center"/>
        <w:rPr/>
      </w:pPr>
      <w:r>
        <w:rPr/>
        <w:t>Master en Santé publique — Promotion de la santé</w:t>
      </w:r>
    </w:p>
    <w:p>
      <w:pPr>
        <w:pStyle w:val="Normal"/>
        <w:spacing w:before="0" w:after="240"/>
        <w:jc w:val="center"/>
        <w:rPr/>
      </w:pPr>
      <w:r>
        <w:rPr>
          <w:i/>
          <w:iCs/>
        </w:rPr>
        <w:t>L'équité d'accès au dépistage capacitant de l'hypertension artérielle et du diabète en consultation prénatale : perceptions et pratiques déclarées des infirmiers et sages-femmes de Ngoma (Rwanda)</w:t>
      </w:r>
    </w:p>
    <w:p>
      <w:pPr>
        <w:pStyle w:val="Normal"/>
        <w:spacing w:before="200" w:after="200"/>
        <w:jc w:val="center"/>
        <w:rPr/>
      </w:pPr>
      <w:r>
        <w:rPr>
          <w:b/>
          <w:bCs/>
        </w:rPr>
        <w:t>Rapport de mémoire</w:t>
      </w:r>
    </w:p>
    <w:p>
      <w:pPr>
        <w:pStyle w:val="Normal"/>
        <w:rPr/>
      </w:pPr>
      <w:r>
        <w:rPr/>
      </w:r>
    </w:p>
    <w:p>
      <w:pPr>
        <w:pStyle w:val="Normal"/>
        <w:spacing w:before="60" w:after="60"/>
        <w:jc w:val="center"/>
        <w:rPr/>
      </w:pPr>
      <w:r>
        <w:rPr>
          <w:i/>
          <w:iCs/>
        </w:rPr>
        <w:t>Version d'entraînement — entretiens et observations fictifs, à remplacer par les données du terrain</w:t>
      </w:r>
    </w:p>
    <w:p>
      <w:pPr>
        <w:pStyle w:val="Normal"/>
        <w:rPr/>
      </w:pPr>
      <w:r>
        <w:rPr/>
      </w:r>
    </w:p>
    <w:p>
      <w:pPr>
        <w:pStyle w:val="Normal"/>
        <w:spacing w:before="0" w:after="80"/>
        <w:rPr/>
      </w:pPr>
      <w:r>
        <w:rPr/>
        <w:t>Synthèse du mémoire à l'intention des lecteurs qui ne liront pas le document entier : direction de mémoire, direction de la santé du district, responsables des centres participants.</w:t>
      </w:r>
    </w:p>
    <w:p>
      <w:pPr>
        <w:pStyle w:val="Normal"/>
        <w:spacing w:before="0" w:after="80"/>
        <w:rPr/>
      </w:pPr>
      <w:r>
        <w:rPr/>
      </w:r>
    </w:p>
    <w:p>
      <w:pPr>
        <w:pStyle w:val="Normal"/>
        <w:spacing w:before="0" w:after="80"/>
        <w:rPr/>
      </w:pPr>
      <w:r>
        <w:rPr/>
        <w:t>Les chiffres sont calculés à partir du projet d'analyse ; les thèmes, les citations et les recommandations sont ceux des chapitres 5 et 6. Les références sont numérotées dans l'ordre de leur première citation (Vancouver).</w:t>
      </w:r>
    </w:p>
    <w:p>
      <w:pPr>
        <w:pStyle w:val="Normal"/>
        <w:rPr/>
      </w:pPr>
      <w:r>
        <w:rPr/>
      </w:r>
    </w:p>
    <w:tbl>
      <w:tblPr>
        <w:tblW w:w="8787" w:type="dxa"/>
        <w:jc w:val="left"/>
        <w:tblInd w:w="0" w:type="dxa"/>
        <w:tblLayout w:type="fixed"/>
        <w:tblCellMar>
          <w:top w:w="60" w:type="dxa"/>
          <w:left w:w="100" w:type="dxa"/>
          <w:bottom w:w="60" w:type="dxa"/>
          <w:right w:w="100" w:type="dxa"/>
        </w:tblCellMar>
      </w:tblPr>
      <w:tblGrid>
        <w:gridCol w:w="2335"/>
        <w:gridCol w:w="6451"/>
      </w:tblGrid>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Chercheur</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MUKAKI DUNIA Jacques</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Institution</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ENATSE, Université de Parakou (Bénin) — Master en Santé publique, Promotion de la santé</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Direction</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Professeure N. Fanny M. HOUNKPONOU AHOUINGNAN</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Période de collecte</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11 août – 30 septembre 2026 (période prévue au protocole, § 4.2.5.3)</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Échantillon</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10 infirmiers ou infirmières et 10 sages-femmes, 15 centres de santé, en deux vagues</w:t>
            </w:r>
          </w:p>
        </w:tc>
      </w:tr>
    </w:tbl>
    <w:p>
      <w:pPr>
        <w:pStyle w:val="Normal"/>
        <w:rPr/>
      </w:pPr>
      <w:r>
        <w:rPr/>
      </w:r>
      <w:r>
        <w:br w:type="page"/>
      </w:r>
    </w:p>
    <w:p>
      <w:pPr>
        <w:pStyle w:val="Heading1"/>
        <w:spacing w:before="0" w:after="160"/>
        <w:rPr/>
      </w:pPr>
      <w:r>
        <w:rPr/>
        <w:t>MESSAGES CLÉS</w:t>
      </w:r>
    </w:p>
    <w:p>
      <w:pPr>
        <w:pStyle w:val="ListParagraph"/>
        <w:numPr>
          <w:ilvl w:val="0"/>
          <w:numId w:val="3"/>
        </w:numPr>
        <w:spacing w:before="0" w:after="80"/>
        <w:jc w:val="both"/>
        <w:rPr/>
      </w:pPr>
      <w:r>
        <w:rPr>
          <w:i w:val="false"/>
          <w:iCs w:val="false"/>
        </w:rPr>
        <w:t>Un test pour toutes, sauf les jours où il manque quelque chose. La glycémie, demandée par la CPN pour toutes à la première visite, est faite au laboratoire ; elle saute les jours de rupture de bandelettes, de panne ou d'absence du laborantin : le jour de l'observation, elle n'était faite que dans 8 centres sur 15. La femme manquée n'est rattrapée que dans 2 centres, et aucun ne refait le test entre 24 et 28 semaines.</w:t>
      </w:r>
    </w:p>
    <w:p>
      <w:pPr>
        <w:pStyle w:val="ListParagraph"/>
        <w:numPr>
          <w:ilvl w:val="0"/>
          <w:numId w:val="1"/>
        </w:numPr>
        <w:spacing w:before="0" w:after="80"/>
        <w:jc w:val="both"/>
        <w:rPr/>
      </w:pPr>
      <w:r>
        <w:rPr>
          <w:i w:val="false"/>
          <w:iCs w:val="false"/>
        </w:rPr>
        <w:t>L'explication — la part du dépistage qui permet à la femme d'agir — se raccourcit pour celles qui arrivent tard, posent peu de questions ou n'ont pas d'autre source d'information : elle est distribuée à l'inverse des besoins. La séance d'éducation collective, tenue deux à trois matins par semaine, donne à toutes les présentes la même information, mais parle peu de la tension, presque jamais du sucre, et manque les femmes arrivées après elle.</w:t>
      </w:r>
    </w:p>
    <w:p>
      <w:pPr>
        <w:pStyle w:val="ListParagraph"/>
        <w:numPr>
          <w:ilvl w:val="0"/>
          <w:numId w:val="1"/>
        </w:numPr>
        <w:spacing w:before="0" w:after="80"/>
        <w:jc w:val="both"/>
        <w:rPr/>
      </w:pPr>
      <w:r>
        <w:rPr>
          <w:i w:val="false"/>
          <w:iCs w:val="false"/>
        </w:rPr>
        <w:t>Le dépistage ne figure dans aucun indicateur de la CPN : ses intrants ne sont pas suivis, ses appareils pas réparés, ses actes pas supervisés. Le contrôle porte sur la complétude du registre, qui peut masquer l'inégalité.</w:t>
      </w:r>
    </w:p>
    <w:p>
      <w:pPr>
        <w:pStyle w:val="ListParagraph"/>
        <w:numPr>
          <w:ilvl w:val="0"/>
          <w:numId w:val="1"/>
        </w:numPr>
        <w:spacing w:before="0" w:after="80"/>
        <w:jc w:val="both"/>
        <w:rPr/>
      </w:pPr>
      <w:r>
        <w:rPr>
          <w:i w:val="false"/>
          <w:iCs w:val="false"/>
        </w:rPr>
        <w:t>La référence dépend d'un véhicule et revient rarement ; le suivi s'interrompt à l'accouchement. Après le diagnostic, seules les femmes des ménages aisés s'achètent un tensiomètre ou un glucomètre pour se surveiller chez elles. L'attente du conjoint pour la première CPN retarde la glycémie ; l'alerte téléphonique des ASM organise l'urgence, pas le contrôle d'une tension élevée.</w:t>
      </w:r>
    </w:p>
    <w:p>
      <w:pPr>
        <w:pStyle w:val="ListParagraph"/>
        <w:numPr>
          <w:ilvl w:val="0"/>
          <w:numId w:val="1"/>
        </w:numPr>
        <w:spacing w:before="0" w:after="80"/>
        <w:jc w:val="both"/>
        <w:rPr/>
      </w:pPr>
      <w:r>
        <w:rPr>
          <w:i w:val="false"/>
          <w:iCs w:val="false"/>
        </w:rPr>
        <w:t>Les participants jugent ces différences inacceptables, reconnaissent une part qui leur revient et proposent des changements concrets : bandelettes sans rupture, laborantin remplacé, glucomètre d'urgence en CPN, liste des femmes à retester, ligne dans le rapport mensuel.</w:t>
      </w:r>
    </w:p>
    <w:p>
      <w:pPr>
        <w:pStyle w:val="Heading1"/>
        <w:spacing w:before="280" w:after="160"/>
        <w:rPr/>
      </w:pPr>
      <w:r>
        <w:rPr/>
        <w:t>1. CONTEXTE ET JUSTIFICATION</w:t>
      </w:r>
    </w:p>
    <w:p>
      <w:pPr>
        <w:pStyle w:val="Normal"/>
        <w:spacing w:before="0" w:after="80"/>
        <w:jc w:val="both"/>
        <w:rPr/>
      </w:pPr>
      <w:r>
        <w:rPr>
          <w:i w:val="false"/>
          <w:iCs w:val="false"/>
        </w:rPr>
        <w:t>L'hypertension artérielle et le diabète de la grossesse exposent la mère et l'enfant à des complications évitables, à condition d'être détectés et pris en charge à temps. La consultation prénatale est le contact le plus régulier entre une femme jeune et un professionnel qualifié ; l'Organisation mondiale de la Santé y recommande la mesure systématique de la pression artérielle et un dépistage du diabète orienté par les facteurs de risque</w:t>
      </w:r>
      <w:r>
        <w:rPr/>
        <w:t xml:space="preserve"> [1]</w:t>
      </w:r>
      <w:r>
        <w:rPr>
          <w:i w:val="false"/>
          <w:iCs w:val="false"/>
        </w:rPr>
        <w:t>. Le Rwanda a adopté le paquet d'interventions essentielles de l'OMS contre les maladies non transmissibles</w:t>
      </w:r>
      <w:r>
        <w:rPr/>
        <w:t xml:space="preserve"> [2]</w:t>
      </w:r>
      <w:r>
        <w:rPr>
          <w:i w:val="false"/>
          <w:iCs w:val="false"/>
        </w:rPr>
        <w:t>.</w:t>
      </w:r>
    </w:p>
    <w:p>
      <w:pPr>
        <w:pStyle w:val="Normal"/>
        <w:spacing w:before="0" w:after="80"/>
        <w:jc w:val="both"/>
        <w:rPr/>
      </w:pPr>
      <w:r>
        <w:rPr>
          <w:i w:val="false"/>
          <w:iCs w:val="false"/>
        </w:rPr>
        <w:t>Les données nationales montrent l'écart entre ces recommandations et la pratique. Selon l'enquête STEPS de 2022, 87,0 % des femmes n'avaient jamais eu de mesure de la glycémie, contre 38 % qui n'avaient jamais eu de mesure de la tension</w:t>
      </w:r>
      <w:r>
        <w:rPr/>
        <w:t xml:space="preserve"> [3]</w:t>
      </w:r>
      <w:r>
        <w:rPr>
          <w:i w:val="false"/>
          <w:iCs w:val="false"/>
        </w:rPr>
        <w:t xml:space="preserve"> ; en CPN, la tension a été mesurée chez 93,5 % des femmes suivies dans la province de l'Est selon l'EDS 2025</w:t>
      </w:r>
      <w:r>
        <w:rPr/>
        <w:t xml:space="preserve"> [4]</w:t>
      </w:r>
      <w:r>
        <w:rPr>
          <w:i w:val="false"/>
          <w:iCs w:val="false"/>
        </w:rPr>
        <w:t>. Le dépistage du diabète gestationnel n'est pas systématique ; le protocole national de 2012 prévoit une glycémie capillaire à jeun et une épreuve de charge entre 24 et 28 semaines, et la seule estimation de prévalence en centre de santé public, 3,2 %, provient d'une étude de recherche</w:t>
      </w:r>
      <w:r>
        <w:rPr/>
        <w:t xml:space="preserve"> [5]</w:t>
      </w:r>
      <w:r>
        <w:rPr>
          <w:i w:val="false"/>
          <w:iCs w:val="false"/>
        </w:rPr>
        <w:t>.</w:t>
      </w:r>
    </w:p>
    <w:p>
      <w:pPr>
        <w:pStyle w:val="Normal"/>
        <w:spacing w:before="0" w:after="80"/>
        <w:jc w:val="both"/>
        <w:rPr/>
      </w:pPr>
      <w:r>
        <w:rPr>
          <w:i w:val="false"/>
          <w:iCs w:val="false"/>
        </w:rPr>
        <w:t>Au regard de la Charte d'Ottawa</w:t>
      </w:r>
      <w:r>
        <w:rPr/>
        <w:t xml:space="preserve"> [6]</w:t>
      </w:r>
      <w:r>
        <w:rPr>
          <w:i w:val="false"/>
          <w:iCs w:val="false"/>
        </w:rPr>
        <w:t>, intégrer ce dépistage à la CPN est une réorientation des services, dont la portée dépend de ceux qui la réalisent : un dépistage n'est capacitant que si son résultat est expliqué et compris. L'étude s'intéresse donc aux infirmiers et sages-femmes de CPN, et à la manière dont ce dépistage se distribue entre les femmes.</w:t>
      </w:r>
    </w:p>
    <w:p>
      <w:pPr>
        <w:pStyle w:val="Heading1"/>
        <w:spacing w:before="280" w:after="160"/>
        <w:rPr/>
      </w:pPr>
      <w:r>
        <w:rPr/>
        <w:t>2. OBJECTIFS</w:t>
      </w:r>
    </w:p>
    <w:p>
      <w:pPr>
        <w:pStyle w:val="Normal"/>
        <w:spacing w:before="0" w:after="80"/>
        <w:jc w:val="both"/>
        <w:rPr/>
      </w:pPr>
      <w:r>
        <w:rPr>
          <w:i w:val="false"/>
          <w:iCs w:val="false"/>
        </w:rPr>
        <w:t>Objectif général. Analyser les perceptions et les pratiques déclarées des infirmiers et sages-femmes exerçant en consultation prénatale dans les centres de santé du district de Ngoma (Rwanda) à l'égard du dépistage de l'hypertension artérielle et du diabète chez la femme enceinte, et la portée qu'ils reconnaissent en matière d'équité d'accès au dépistage.</w:t>
      </w:r>
    </w:p>
    <w:p>
      <w:pPr>
        <w:pStyle w:val="ListParagraph"/>
        <w:numPr>
          <w:ilvl w:val="0"/>
          <w:numId w:val="1"/>
        </w:numPr>
        <w:spacing w:before="0" w:after="80"/>
        <w:jc w:val="both"/>
        <w:rPr/>
      </w:pPr>
      <w:r>
        <w:rPr>
          <w:i w:val="false"/>
          <w:iCs w:val="false"/>
        </w:rPr>
        <w:t>Objectif spécifique 1 (OS1) : décrire le sens attribué à ce dépistage ainsi que les pratiques déclarées de dépistage et d'information capacitante auprès des femmes enceintes.</w:t>
      </w:r>
    </w:p>
    <w:p>
      <w:pPr>
        <w:pStyle w:val="ListParagraph"/>
        <w:numPr>
          <w:ilvl w:val="0"/>
          <w:numId w:val="1"/>
        </w:numPr>
        <w:spacing w:before="0" w:after="80"/>
        <w:jc w:val="both"/>
        <w:rPr/>
      </w:pPr>
      <w:r>
        <w:rPr>
          <w:i w:val="false"/>
          <w:iCs w:val="false"/>
        </w:rPr>
        <w:t>Objectif spécifique 2 (OS2) : examiner les conditions individuelles, organisationnelles, systémiques et sociales perçues comme facilitant ou limitant ce dépistage, la portée reconnue en équité et les changements jugés nécessaires.</w:t>
      </w:r>
    </w:p>
    <w:p>
      <w:pPr>
        <w:pStyle w:val="Heading1"/>
        <w:spacing w:before="280" w:after="160"/>
        <w:rPr/>
      </w:pPr>
      <w:r>
        <w:rPr/>
        <w:t>3. MÉTHODES</w:t>
      </w:r>
    </w:p>
    <w:p>
      <w:pPr>
        <w:pStyle w:val="Normal"/>
        <w:keepNext w:val="true"/>
        <w:spacing w:before="200" w:after="80"/>
        <w:rPr/>
      </w:pPr>
      <w:r>
        <w:rPr>
          <w:b/>
          <w:bCs/>
        </w:rPr>
        <w:t>Tableau 1. Méthodes en bref</w:t>
      </w:r>
    </w:p>
    <w:tbl>
      <w:tblPr>
        <w:tblW w:w="8787" w:type="dxa"/>
        <w:jc w:val="left"/>
        <w:tblInd w:w="0" w:type="dxa"/>
        <w:tblLayout w:type="fixed"/>
        <w:tblCellMar>
          <w:top w:w="60" w:type="dxa"/>
          <w:left w:w="100" w:type="dxa"/>
          <w:bottom w:w="60" w:type="dxa"/>
          <w:right w:w="100" w:type="dxa"/>
        </w:tblCellMar>
      </w:tblPr>
      <w:tblGrid>
        <w:gridCol w:w="2142"/>
        <w:gridCol w:w="6644"/>
      </w:tblGrid>
      <w:tr>
        <w:trPr>
          <w:tblHeader w:val="true"/>
        </w:trPr>
        <w:tc>
          <w:tcPr>
            <w:tcW w:w="2142"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Élément</w:t>
            </w:r>
          </w:p>
        </w:tc>
        <w:tc>
          <w:tcPr>
            <w:tcW w:w="6644"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Description</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Type d'étude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Qualitative descriptive</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Cadre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District de Ngoma (Province de l'Est) : 15 des 16 centres de santé, le seizième ayant servi au pré-test</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Participants</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Vingt prestataires de CPN (10 infirmiers ou infirmières, 10 sages-femmes, dont 5 titulaires), échantillonnage à variation maximale</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Collecte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Entretiens semi-structurés (38 à 61 minutes) ; observation non participante d'une demi-journée par centre, service de CPN ; données de routine du district</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Analyse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Analyse thématique en six phases, codage hybride (déductif à partir du cadre conceptuel, inductif)</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Rigueur</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Double codage à l'aveugle de 3 entretiens sur 20 (κ de Cohen par paragraphe = 0,850) et recodage intra-codeur à quatre semaines (κ = 0,955), désaccords tranchés en consensus ; triangulation des sources ; retour des interprétations à des participants volontaires ; grille COREQ</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Éthique</w:t>
            </w:r>
          </w:p>
        </w:tc>
        <w:tc>
          <w:tcPr>
            <w:tcW w:w="6644"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Consentement écrit ; accord distinct pour la citation ; entretiens notés, sans enregistrement ; codes de participant et de centre jamais associés ; approbation éthique et autorisation du district [références à compléter]</w:t>
            </w:r>
          </w:p>
        </w:tc>
      </w:tr>
    </w:tbl>
    <w:p>
      <w:pPr>
        <w:pStyle w:val="Normal"/>
        <w:spacing w:before="60" w:after="200"/>
        <w:rPr>
          <w:sz w:val="22"/>
          <w:szCs w:val="22"/>
        </w:rPr>
      </w:pPr>
      <w:r>
        <w:rPr>
          <w:i/>
          <w:iCs/>
          <w:sz w:val="22"/>
          <w:szCs w:val="22"/>
        </w:rPr>
        <w:t>Source : chapitre 4 du mémoire.</w:t>
      </w:r>
    </w:p>
    <w:p>
      <w:pPr>
        <w:pStyle w:val="Heading1"/>
        <w:spacing w:before="280" w:after="160"/>
        <w:rPr/>
      </w:pPr>
      <w:r>
        <w:rPr/>
        <w:t>4. PRINCIPAUX RÉSULTATS</w:t>
      </w:r>
    </w:p>
    <w:p>
      <w:pPr>
        <w:pStyle w:val="Heading2"/>
        <w:spacing w:before="220" w:after="120"/>
        <w:rPr/>
      </w:pPr>
      <w:r>
        <w:rPr/>
        <w:t>4.1. Un test pour toutes, interrompu par les ruptures, les pannes et l'absence du laborantin</w:t>
      </w:r>
    </w:p>
    <w:p>
      <w:pPr>
        <w:pStyle w:val="Normal"/>
        <w:spacing w:before="0" w:after="80"/>
        <w:jc w:val="both"/>
        <w:rPr/>
      </w:pPr>
      <w:r>
        <w:rPr>
          <w:i w:val="false"/>
          <w:iCs w:val="false"/>
        </w:rPr>
        <w:t>Dans les 15 centres, la CPN demande la glycémie pour toutes à la première visite et le laboratoire la réalise ; 6 services de CPN ont un glucomètre pour les urgences. Le jour de l'observation, le test n'était pas fait partout (tableau 2).</w:t>
      </w:r>
    </w:p>
    <w:p>
      <w:pPr>
        <w:pStyle w:val="Normal"/>
        <w:keepNext w:val="true"/>
        <w:spacing w:before="200" w:after="80"/>
        <w:rPr/>
      </w:pPr>
      <w:r>
        <w:rPr>
          <w:b/>
          <w:bCs/>
        </w:rPr>
        <w:t>Tableau 2. Glycémie de la première CPN, le jour de l'observation</w:t>
      </w:r>
    </w:p>
    <w:tbl>
      <w:tblPr>
        <w:tblW w:w="8787" w:type="dxa"/>
        <w:jc w:val="left"/>
        <w:tblInd w:w="0" w:type="dxa"/>
        <w:tblLayout w:type="fixed"/>
        <w:tblCellMar>
          <w:top w:w="60" w:type="dxa"/>
          <w:left w:w="100" w:type="dxa"/>
          <w:bottom w:w="60" w:type="dxa"/>
          <w:right w:w="100" w:type="dxa"/>
        </w:tblCellMar>
      </w:tblPr>
      <w:tblGrid>
        <w:gridCol w:w="6839"/>
        <w:gridCol w:w="1947"/>
      </w:tblGrid>
      <w:tr>
        <w:trPr>
          <w:tblHeader w:val="true"/>
        </w:trPr>
        <w:tc>
          <w:tcPr>
            <w:tcW w:w="6839"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Situation observée</w:t>
            </w:r>
          </w:p>
        </w:tc>
        <w:tc>
          <w:tcPr>
            <w:tcW w:w="1947"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Centres</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faite à toutes les femmes de première CPN</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8</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Non faite : rupture de bandelettes</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3</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Non faite : glucomètre du laboratoire en panne</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2</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Non faite : laborantin absent</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2</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Total</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15</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Rupture de bandelettes au cours des trois derniers mois</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6</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Test manqué noté pour être refait au rendez-vous suivant</w:t>
            </w:r>
          </w:p>
        </w:tc>
        <w:tc>
          <w:tcPr>
            <w:tcW w:w="1947"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2</w:t>
            </w:r>
          </w:p>
        </w:tc>
      </w:tr>
    </w:tbl>
    <w:p>
      <w:pPr>
        <w:pStyle w:val="Normal"/>
        <w:spacing w:before="60" w:after="200"/>
        <w:rPr>
          <w:sz w:val="22"/>
          <w:szCs w:val="22"/>
        </w:rPr>
      </w:pPr>
      <w:r>
        <w:rPr>
          <w:i/>
          <w:iCs/>
          <w:sz w:val="22"/>
          <w:szCs w:val="22"/>
        </w:rPr>
        <w:t>Source : observation non participante des services de CPN et des laboratoires.</w:t>
      </w:r>
    </w:p>
    <w:p>
      <w:pPr>
        <w:pStyle w:val="Normal"/>
        <w:spacing w:lineRule="auto" w:line="240" w:before="60" w:after="40"/>
        <w:ind w:left="567" w:right="567"/>
        <w:jc w:val="both"/>
        <w:rPr>
          <w:sz w:val="24"/>
          <w:szCs w:val="24"/>
        </w:rPr>
      </w:pPr>
      <w:r>
        <w:rPr>
          <w:i/>
          <w:iCs/>
          <w:sz w:val="24"/>
          <w:szCs w:val="24"/>
        </w:rPr>
        <w:t>« Toutes les femmes venues pour leur première visite pendant ce temps-là sont reparties sans le test, et personne ne les a rappelées quand les bandelettes sont revenues : on n'a pas de liste, et à la visite suivante on ne pense pas à regarder si la case est vide. »</w:t>
      </w:r>
    </w:p>
    <w:p>
      <w:pPr>
        <w:pStyle w:val="Normal"/>
        <w:spacing w:lineRule="auto" w:line="240" w:before="0" w:after="160"/>
        <w:ind w:left="567" w:right="567"/>
        <w:jc w:val="right"/>
        <w:rPr>
          <w:sz w:val="24"/>
          <w:szCs w:val="24"/>
        </w:rPr>
      </w:pPr>
      <w:r>
        <w:rPr>
          <w:sz w:val="24"/>
          <w:szCs w:val="24"/>
        </w:rPr>
        <w:t>(P01, infirmier — traduit du kinyarwanda)</w:t>
      </w:r>
    </w:p>
    <w:p>
      <w:pPr>
        <w:pStyle w:val="Heading2"/>
        <w:spacing w:before="220" w:after="120"/>
        <w:rPr/>
      </w:pPr>
      <w:r>
        <w:rPr/>
        <w:t>4.2. Sept thèmes</w:t>
      </w:r>
    </w:p>
    <w:p>
      <w:pPr>
        <w:pStyle w:val="Normal"/>
        <w:spacing w:before="0" w:after="80"/>
        <w:jc w:val="both"/>
        <w:rPr/>
      </w:pPr>
      <w:r>
        <w:rPr>
          <w:i w:val="false"/>
          <w:iCs w:val="false"/>
        </w:rPr>
        <w:t>L'analyse a dégagé sept thèmes, dont deux répondent au premier objectif et cinq au second (tableau 3).</w:t>
      </w:r>
    </w:p>
    <w:p>
      <w:pPr>
        <w:pStyle w:val="Normal"/>
        <w:keepNext w:val="true"/>
        <w:spacing w:before="200" w:after="80"/>
        <w:rPr/>
      </w:pPr>
      <w:r>
        <w:rPr>
          <w:b/>
          <w:bCs/>
        </w:rPr>
        <w:t>Tableau 3. Synthèse des thèmes</w:t>
      </w:r>
    </w:p>
    <w:tbl>
      <w:tblPr>
        <w:tblW w:w="8787" w:type="dxa"/>
        <w:jc w:val="left"/>
        <w:tblInd w:w="0" w:type="dxa"/>
        <w:tblLayout w:type="fixed"/>
        <w:tblCellMar>
          <w:top w:w="60" w:type="dxa"/>
          <w:left w:w="100" w:type="dxa"/>
          <w:bottom w:w="60" w:type="dxa"/>
          <w:right w:w="100" w:type="dxa"/>
        </w:tblCellMar>
      </w:tblPr>
      <w:tblGrid>
        <w:gridCol w:w="2920"/>
        <w:gridCol w:w="1363"/>
        <w:gridCol w:w="4504"/>
      </w:tblGrid>
      <w:tr>
        <w:trPr>
          <w:tblHeader w:val="true"/>
        </w:trPr>
        <w:tc>
          <w:tcPr>
            <w:tcW w:w="2920"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Thème</w:t>
            </w:r>
          </w:p>
        </w:tc>
        <w:tc>
          <w:tcPr>
            <w:tcW w:w="1363"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Objectif</w:t>
            </w:r>
          </w:p>
        </w:tc>
        <w:tc>
          <w:tcPr>
            <w:tcW w:w="4504"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Énoncé</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T1. Un test pour toutes, sauf les jours où il manque quelque chose</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OS1</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demandée pour toutes à la première CPN, faite au laboratoire ; sautée les jours de rupture, de panne ou sans laborantin, rarement rattrapée, non refaite à 24-28 semaines.</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T2. Expliquer moins à celles qui savent le moins</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OS1</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L'explication varie à l'inverse des besoins ; la séance collective, égale pour les présentes, ne restitue aucun résultat.</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T3. Trouver sans pouvoir suivre</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La détection ne devient prise en charge que si la référence aboutit et si l'information revient ; l'autosurveillance après le diagnostic reste réservée aux ménages aisés.</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T4. Ce qui est compté existe</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Intrants, maintenance et attention suivent les indicateurs ; le dépistage n'en fait pas partie.</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T5. Ce que change la dotation, et ce qu'elle ne change pas</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Les intrants rendent le test initial régulier, pas le contrôle tardif ni l'explication.</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T6. Le registre comme écran</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 équité</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Un contrôle de complétude produit de la complétude et peut masquer l'inégalité.</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T7. Le dépistage hors des murs</w:t>
            </w:r>
          </w:p>
        </w:tc>
        <w:tc>
          <w:tcPr>
            <w:tcW w:w="1363"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OS2, transformations</w:t>
            </w:r>
          </w:p>
        </w:tc>
        <w:tc>
          <w:tcPr>
            <w:tcW w:w="4504"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Les relais communautaires prolongent le dépistage ; l'alerte des ASM organise l'urgence, pas le contrôle.</w:t>
            </w:r>
          </w:p>
        </w:tc>
      </w:tr>
    </w:tbl>
    <w:p>
      <w:pPr>
        <w:pStyle w:val="Normal"/>
        <w:spacing w:before="60" w:after="200"/>
        <w:rPr>
          <w:sz w:val="22"/>
          <w:szCs w:val="22"/>
        </w:rPr>
      </w:pPr>
      <w:r>
        <w:rPr>
          <w:i/>
          <w:iCs/>
          <w:sz w:val="22"/>
          <w:szCs w:val="22"/>
        </w:rPr>
        <w:t>Source : chapitre 5 du mémoire.</w:t>
      </w:r>
    </w:p>
    <w:p>
      <w:pPr>
        <w:pStyle w:val="Heading2"/>
        <w:spacing w:before="220" w:after="120"/>
        <w:rPr/>
      </w:pPr>
      <w:r>
        <w:rPr/>
        <w:t>4.3. Un propos qui résume</w:t>
      </w:r>
    </w:p>
    <w:p>
      <w:pPr>
        <w:pStyle w:val="Normal"/>
        <w:spacing w:lineRule="auto" w:line="240" w:before="60" w:after="40"/>
        <w:ind w:left="567" w:right="567"/>
        <w:jc w:val="both"/>
        <w:rPr>
          <w:sz w:val="24"/>
          <w:szCs w:val="24"/>
        </w:rPr>
      </w:pPr>
      <w:r>
        <w:rPr>
          <w:i/>
          <w:iCs/>
          <w:sz w:val="24"/>
          <w:szCs w:val="24"/>
        </w:rPr>
        <w:t>« Si vous venez à sept heures trente, vous aurez une infirmière qui vous explique. Si vous venez à onze heures, vous aurez la même infirmière mais elle vous dira trois mots. C'est le même service et ce n'est pas le même service. »</w:t>
      </w:r>
    </w:p>
    <w:p>
      <w:pPr>
        <w:pStyle w:val="Normal"/>
        <w:spacing w:lineRule="auto" w:line="240" w:before="0" w:after="160"/>
        <w:ind w:left="567" w:right="567"/>
        <w:jc w:val="right"/>
        <w:rPr>
          <w:sz w:val="24"/>
          <w:szCs w:val="24"/>
        </w:rPr>
      </w:pPr>
      <w:r>
        <w:rPr>
          <w:sz w:val="24"/>
          <w:szCs w:val="24"/>
        </w:rPr>
        <w:t>(P04, infirmière — traduit du kinyarwanda)</w:t>
      </w:r>
    </w:p>
    <w:p>
      <w:pPr>
        <w:pStyle w:val="Heading2"/>
        <w:spacing w:before="220" w:after="120"/>
        <w:rPr/>
      </w:pPr>
      <w:r>
        <w:rPr/>
        <w:t>4.4. Ce que l'observation confirme ou nuance</w:t>
      </w:r>
    </w:p>
    <w:p>
      <w:pPr>
        <w:pStyle w:val="Normal"/>
        <w:spacing w:before="0" w:after="80"/>
        <w:jc w:val="both"/>
        <w:rPr/>
      </w:pPr>
      <w:r>
        <w:rPr>
          <w:i w:val="false"/>
          <w:iCs w:val="false"/>
        </w:rPr>
        <w:t>La confrontation des entretiens avec l'observation et les données de routine a produit 8 constats : 6 concordances et 2 écarts ; elle seule a montré les interruptions du test et l'absence de rattrapage.</w:t>
      </w:r>
    </w:p>
    <w:p>
      <w:pPr>
        <w:pStyle w:val="Heading1"/>
        <w:spacing w:before="280" w:after="160"/>
        <w:rPr/>
      </w:pPr>
      <w:r>
        <w:rPr/>
        <w:t>5. POINTS DE DISCUSSION</w:t>
      </w:r>
    </w:p>
    <w:p>
      <w:pPr>
        <w:pStyle w:val="ListParagraph"/>
        <w:numPr>
          <w:ilvl w:val="0"/>
          <w:numId w:val="1"/>
        </w:numPr>
        <w:spacing w:before="0" w:after="80"/>
        <w:jc w:val="both"/>
        <w:rPr/>
      </w:pPr>
      <w:r>
        <w:rPr>
          <w:i w:val="false"/>
          <w:iCs w:val="false"/>
        </w:rPr>
        <w:t>Une règle pour toutes, une exécution intermittente. Le test dépend des bandelettes du laboratoire, partagées avec la consultation des maladies chroniques, d'appareils sans maintenance et d'un laborantin souvent seul ; sans liste des femmes manquées, chaque interruption devient une absence définitive.</w:t>
      </w:r>
    </w:p>
    <w:p>
      <w:pPr>
        <w:pStyle w:val="ListParagraph"/>
        <w:numPr>
          <w:ilvl w:val="0"/>
          <w:numId w:val="1"/>
        </w:numPr>
        <w:spacing w:before="0" w:after="80"/>
        <w:jc w:val="both"/>
        <w:rPr/>
      </w:pPr>
      <w:r>
        <w:rPr>
          <w:i w:val="false"/>
          <w:iCs w:val="false"/>
        </w:rPr>
        <w:t>Un test unique, trop précoce. La glycémie de la première CPN repère un diabète préexistant ; le diabète gestationnel apparaît entre 24 et 28 semaines, période où le protocole national prévoit une épreuve de charge</w:t>
      </w:r>
      <w:r>
        <w:rPr/>
        <w:t xml:space="preserve"> [5]</w:t>
      </w:r>
      <w:r>
        <w:rPr>
          <w:i w:val="false"/>
          <w:iCs w:val="false"/>
        </w:rPr>
        <w:t xml:space="preserve"> que les centres ne pratiquent pas, alors que le contact de 26 semaines s'y prêterait</w:t>
      </w:r>
      <w:r>
        <w:rPr/>
        <w:t xml:space="preserve"> [7]</w:t>
      </w:r>
      <w:r>
        <w:rPr>
          <w:i w:val="false"/>
          <w:iCs w:val="false"/>
        </w:rPr>
        <w:t>.</w:t>
      </w:r>
    </w:p>
    <w:p>
      <w:pPr>
        <w:pStyle w:val="ListParagraph"/>
        <w:numPr>
          <w:ilvl w:val="0"/>
          <w:numId w:val="1"/>
        </w:numPr>
        <w:spacing w:before="0" w:after="80"/>
        <w:jc w:val="both"/>
        <w:rPr/>
      </w:pPr>
      <w:r>
        <w:rPr>
          <w:i w:val="false"/>
          <w:iCs w:val="false"/>
        </w:rPr>
        <w:t>L'explication, distribuée à l'inverse des besoins. L'inégalité ne tient pas seulement à l'accès au test, mais au temps d'explication, qui se raréfie là où il serait le plus utile ; c'est la dimension capacitante du dépistage qui se distribue mal</w:t>
      </w:r>
      <w:r>
        <w:rPr/>
        <w:t xml:space="preserve"> [6]</w:t>
      </w:r>
      <w:r>
        <w:rPr>
          <w:i w:val="false"/>
          <w:iCs w:val="false"/>
        </w:rPr>
        <w:t>.</w:t>
      </w:r>
    </w:p>
    <w:p>
      <w:pPr>
        <w:pStyle w:val="ListParagraph"/>
        <w:numPr>
          <w:ilvl w:val="0"/>
          <w:numId w:val="1"/>
        </w:numPr>
        <w:spacing w:before="0" w:after="80"/>
        <w:jc w:val="both"/>
        <w:rPr/>
      </w:pPr>
      <w:r>
        <w:rPr>
          <w:i w:val="false"/>
          <w:iCs w:val="false"/>
        </w:rPr>
        <w:t>Ce qui est compté existe. Un dépistage absent du rapport mensuel n'est ni approvisionné ni contrôlé, et le contrôle de complétude du registre peut produire une égalité apparente. Le financement basé sur la performance rémunère la première CPN précoce et les quatre visites</w:t>
      </w:r>
      <w:r>
        <w:rPr/>
        <w:t xml:space="preserve"> [8]</w:t>
      </w:r>
      <w:r>
        <w:rPr>
          <w:i w:val="false"/>
          <w:iCs w:val="false"/>
        </w:rPr>
        <w:t xml:space="preserve"> ; son effet est plus net sur les services les mieux payés et les moins exigeants</w:t>
      </w:r>
      <w:r>
        <w:rPr/>
        <w:t xml:space="preserve"> [9]</w:t>
      </w:r>
      <w:r>
        <w:rPr>
          <w:i w:val="false"/>
          <w:iCs w:val="false"/>
        </w:rPr>
        <w:t>.</w:t>
      </w:r>
    </w:p>
    <w:p>
      <w:pPr>
        <w:pStyle w:val="ListParagraph"/>
        <w:numPr>
          <w:ilvl w:val="0"/>
          <w:numId w:val="1"/>
        </w:numPr>
        <w:spacing w:before="0" w:after="80"/>
        <w:jc w:val="both"/>
        <w:rPr/>
      </w:pPr>
      <w:r>
        <w:rPr>
          <w:i w:val="false"/>
          <w:iCs w:val="false"/>
        </w:rPr>
        <w:t>La séance collective, levier à orienter. Égale pour les présentes, elle ne restitue aucun résultat et manque celles qui arrivent tard ; y inscrire la tension et le sucre et la relayer vers les familles (ASM, umugoroba w'ababyeyi</w:t>
      </w:r>
      <w:r>
        <w:rPr/>
        <w:t xml:space="preserve"> [10]</w:t>
      </w:r>
      <w:r>
        <w:rPr>
          <w:i w:val="false"/>
          <w:iCs w:val="false"/>
        </w:rPr>
        <w:t>) en ferait un instrument d'équité</w:t>
      </w:r>
      <w:r>
        <w:rPr/>
        <w:t xml:space="preserve"> [11]</w:t>
      </w:r>
      <w:r>
        <w:rPr>
          <w:i w:val="false"/>
          <w:iCs w:val="false"/>
        </w:rPr>
        <w:t>.</w:t>
      </w:r>
    </w:p>
    <w:p>
      <w:pPr>
        <w:pStyle w:val="ListParagraph"/>
        <w:numPr>
          <w:ilvl w:val="0"/>
          <w:numId w:val="1"/>
        </w:numPr>
        <w:spacing w:before="0" w:after="80"/>
        <w:jc w:val="both"/>
        <w:rPr/>
      </w:pPr>
      <w:r>
        <w:rPr>
          <w:i w:val="false"/>
          <w:iCs w:val="false"/>
        </w:rPr>
        <w:t>La dotation ne suffit pas. L'équipement réduit l'inégalité du test, pas celles de la référence et de l'explication.</w:t>
      </w:r>
    </w:p>
    <w:p>
      <w:pPr>
        <w:pStyle w:val="Heading1"/>
        <w:spacing w:before="280" w:after="160"/>
        <w:rPr/>
      </w:pPr>
      <w:r>
        <w:rPr/>
        <w:t>6. RECOMMANDATIONS</w:t>
      </w:r>
    </w:p>
    <w:p>
      <w:pPr>
        <w:pStyle w:val="Normal"/>
        <w:keepNext w:val="true"/>
        <w:spacing w:before="200" w:after="80"/>
        <w:rPr/>
      </w:pPr>
      <w:r>
        <w:rPr>
          <w:b/>
          <w:bCs/>
        </w:rPr>
        <w:t>Tableau 4. Recommandations par destinataire</w:t>
      </w:r>
    </w:p>
    <w:tbl>
      <w:tblPr>
        <w:tblW w:w="8787" w:type="dxa"/>
        <w:jc w:val="left"/>
        <w:tblInd w:w="0" w:type="dxa"/>
        <w:tblLayout w:type="fixed"/>
        <w:tblCellMar>
          <w:top w:w="60" w:type="dxa"/>
          <w:left w:w="100" w:type="dxa"/>
          <w:bottom w:w="60" w:type="dxa"/>
          <w:right w:w="100" w:type="dxa"/>
        </w:tblCellMar>
      </w:tblPr>
      <w:tblGrid>
        <w:gridCol w:w="2142"/>
        <w:gridCol w:w="4990"/>
        <w:gridCol w:w="1655"/>
      </w:tblGrid>
      <w:tr>
        <w:trPr>
          <w:tblHeader w:val="true"/>
        </w:trPr>
        <w:tc>
          <w:tcPr>
            <w:tcW w:w="2142"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Destinataire</w:t>
            </w:r>
          </w:p>
        </w:tc>
        <w:tc>
          <w:tcPr>
            <w:tcW w:w="4990"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Recommandations</w:t>
            </w:r>
          </w:p>
        </w:tc>
        <w:tc>
          <w:tcPr>
            <w:tcW w:w="1655"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Résultats d'appui</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Ministère de la Santé et Rwanda Biomedical Centre</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Relier les campagnes de dépistage des MNT à la CPN ; garantir sans rupture les bandelettes de la glycémie de la première CPN ; rendre praticable le dépistage du diabète gestationnel entre 24 et 28 semaines (glycémie à jeun ou épreuve de charge, au contact de 26 semaines), avec des critères écrits pour les femmes à risque</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1</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Direction de la santé du district</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Inclure les bandelettes de la CPN et les piles des tensiomètres dans les intrants essentiels, avec un seuil d'alerte ; doter chaque CPN d'un glucomètre d'urgence et former à son usage tous ses prestataires ; garantir la présence d'un laborantin ou d'un remplaçant aux heures de CPN ; ajouter au rapport mensuel une ligne sur le dépistage et sa suite ; organiser la maintenance ; superviser les actes, pas seulement la complétude des registres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Thèmes 1, 4, 5 et 6</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Responsables des centres de santé</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Tenir la liste des femmes dont le test n'a pas pu être fait et le refaire au rendez-vous suivant ; organiser le passage au laboratoire le matin même, avant la fermeture ; organiser le contrôle à 24-28 semaines ; prévoir un suivi plus rapproché des femmes dépistées qui ne peuvent pas se surveiller à domicile</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Thèmes 1 et 3</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Hôpital de district</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Rendre systématique le retour d'information vers le centre pour chaque femme référée ; organiser le suivi après l'accouchement des femmes dépistées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3</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Équipes de CPN</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Inscrire la tension et le sucre au programme des séances d'éducation, avec une image simple ; reprendre le message pour les femmes arrivées après la séance ; ne jamais substituer la séance à la restitution du résultat ; vérifier la compréhension en faisant reformuler la femme ; tracer les références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2</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Formation initiale et continue</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Former les infirmiers affectés aux constantes autant que les sages-femmes ; former des équipes plutôt que des personnes ; intégrer la pratique informative et sa distribution entre les femmes au contenu des formations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Thèmes 1 et 2 ; conditions individuelles</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Programme de santé communautaire</w:t>
            </w:r>
          </w:p>
        </w:tc>
        <w:tc>
          <w:tcPr>
            <w:tcW w:w="4990"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Donner aux ASM et à l'umugoroba w'ababyeyi des messages simples sur la tension et le sucre pendant la grossesse ; prévoir dans l'outil de signalement des ASM le suivi d'une femme référée pour tension élevée ; faire savoir que la femme est reçue à la première CPN même sans son conjoint</w:t>
            </w:r>
          </w:p>
        </w:tc>
        <w:tc>
          <w:tcPr>
            <w:tcW w:w="1655"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Thèmes 3 et 7</w:t>
            </w:r>
          </w:p>
        </w:tc>
      </w:tr>
    </w:tbl>
    <w:p>
      <w:pPr>
        <w:pStyle w:val="Normal"/>
        <w:spacing w:before="60" w:after="200"/>
        <w:rPr>
          <w:sz w:val="22"/>
          <w:szCs w:val="22"/>
        </w:rPr>
      </w:pPr>
      <w:r>
        <w:rPr>
          <w:i/>
          <w:iCs/>
          <w:sz w:val="22"/>
          <w:szCs w:val="22"/>
        </w:rPr>
        <w:t>Source : chapitre 6 du mémoire.</w:t>
      </w:r>
    </w:p>
    <w:p>
      <w:pPr>
        <w:pStyle w:val="Heading1"/>
        <w:spacing w:before="280" w:after="160"/>
        <w:rPr/>
      </w:pPr>
      <w:r>
        <w:rPr/>
        <w:t>7. LIMITES</w:t>
      </w:r>
    </w:p>
    <w:p>
      <w:pPr>
        <w:pStyle w:val="Normal"/>
        <w:spacing w:before="0" w:after="80"/>
        <w:jc w:val="both"/>
        <w:rPr/>
      </w:pPr>
      <w:r>
        <w:rPr>
          <w:i w:val="false"/>
          <w:iCs w:val="false"/>
        </w:rPr>
        <w:t>Pratiques déclarées ; point de vue des femmes non recueilli ; propos notés sans enregistrement ; effet de présence de l'observateur ; données de routine limitées ; un seul district.</w:t>
      </w:r>
    </w:p>
    <w:p>
      <w:pPr>
        <w:pStyle w:val="Heading1"/>
        <w:spacing w:before="280" w:after="160"/>
        <w:rPr/>
      </w:pPr>
      <w:r>
        <w:rPr/>
        <w:t>8. CONCLUSION</w:t>
      </w:r>
    </w:p>
    <w:p>
      <w:pPr>
        <w:pStyle w:val="Normal"/>
        <w:spacing w:before="0" w:after="80"/>
        <w:jc w:val="both"/>
        <w:rPr/>
      </w:pPr>
      <w:r>
        <w:rPr>
          <w:i w:val="false"/>
          <w:iCs w:val="false"/>
        </w:rPr>
        <w:t>Le dépistage de l'hypertension et du diabète en CPN est accepté par les professionnels comme relevant de leur mandat, et pratiqué pour toutes, mais de façon intermittente : la glycémie de la première CPN n'était faite que dans 8 centres sur 15 le jour de l'observation, rarement rattrapée et jamais refaite de façon systématique entre 24 et 28 semaines. Trois leviers ressortent : garantir la continuité du test initial et rendre praticable celui de 24-28 semaines, compter les actes de dépistage et leur suite, soutenir la pratique informative.</w:t>
      </w:r>
    </w:p>
    <w:p>
      <w:pPr>
        <w:pStyle w:val="Heading1"/>
        <w:spacing w:before="280" w:after="160"/>
        <w:rPr/>
      </w:pPr>
      <w:r>
        <w:rPr/>
        <w:t>RÉFÉRENCES</w:t>
      </w:r>
    </w:p>
    <w:p>
      <w:pPr>
        <w:pStyle w:val="Bibliographie"/>
        <w:rPr/>
      </w:pPr>
      <w:r>
        <w:rPr/>
        <w:t>1.</w:t>
        <w:tab/>
        <w:t>World Health Organization. WHO recommendations on antenatal care for a positive pregnancy experience. Geneva: WHO; 2016.</w:t>
      </w:r>
    </w:p>
    <w:p>
      <w:pPr>
        <w:pStyle w:val="Bibliographie"/>
        <w:rPr/>
      </w:pPr>
      <w:r>
        <w:rPr/>
        <w:t>2.</w:t>
        <w:tab/>
        <w:t>World Health Organization. WHO package of essential noncommunicable (PEN) disease interventions for primary health care. Geneva: WHO; 2020.</w:t>
      </w:r>
    </w:p>
    <w:p>
      <w:pPr>
        <w:pStyle w:val="Bibliographie"/>
        <w:rPr/>
      </w:pPr>
      <w:r>
        <w:rPr/>
        <w:t>3.</w:t>
        <w:tab/>
        <w:t>Rwanda Biomedical Centre, Ministry of Health, World Health Organization. Rwanda non-communicable diseases risk factors report: STEPS survey 2022. Kigali: Rwanda Biomedical Centre; 2023.</w:t>
      </w:r>
    </w:p>
    <w:p>
      <w:pPr>
        <w:pStyle w:val="Bibliographie"/>
        <w:rPr/>
      </w:pPr>
      <w:r>
        <w:rPr/>
        <w:t>4.</w:t>
        <w:tab/>
        <w:t>National Institute of Statistics of Rwanda, Ministry of Health, ICF. Rwanda Demographic and Health Survey 2025: indicateurs de soins prénatals [Internet]. Rockville (MD): The DHS Program, ICF; 2026 [cité le 2 oct 2026]. Disponible sur: https://api.dhsprogram.com</w:t>
      </w:r>
    </w:p>
    <w:p>
      <w:pPr>
        <w:pStyle w:val="Bibliographie"/>
        <w:rPr/>
      </w:pPr>
      <w:r>
        <w:rPr/>
        <w:t>5.</w:t>
        <w:tab/>
        <w:t>Meharry PM, Tengera O, Rulisa S, Byambu AK, Nietert PJ, Byiringiro S, et al. Prevalence of gestational diabetes mellitus among women attending antenatal care at public health centers in Rwanda. Diabetes Res Clin Pract. 2019;151:252-9.</w:t>
      </w:r>
    </w:p>
    <w:p>
      <w:pPr>
        <w:pStyle w:val="Bibliographie"/>
        <w:rPr/>
      </w:pPr>
      <w:r>
        <w:rPr/>
        <w:t>6.</w:t>
        <w:tab/>
        <w:t>World Health Organization. Ottawa Charter for Health Promotion. Geneva: WHO; 1986.</w:t>
      </w:r>
    </w:p>
    <w:p>
      <w:pPr>
        <w:pStyle w:val="Bibliographie"/>
        <w:rPr/>
      </w:pPr>
      <w:r>
        <w:rPr/>
        <w:t>7.</w:t>
        <w:tab/>
        <w:t>Rwanda Biomedical Centre, Ministry of Health. National antenatal care guidelines. Kigali: RBC; 2021. Disponible sur: https://rbc.gov.rw/MCCH/wp-content/uploads/2025/02/ANC-guideline_-final-Edited-4-February-2021-1-1.pdf</w:t>
      </w:r>
    </w:p>
    <w:p>
      <w:pPr>
        <w:pStyle w:val="Bibliographie"/>
        <w:rPr/>
      </w:pPr>
      <w:r>
        <w:rPr/>
        <w:t>8.</w:t>
        <w:tab/>
        <w:t>Schmidt CN, Butrick E, Musange S, Mulindahabi N, Walker D. Towards stronger antenatal care: understanding predictors of late presentation to antenatal services and implications for obstetric risk management in Rwanda. PLoS One. 2021;16(8):e0256415. doi:10.1371/journal.pone.0256415</w:t>
      </w:r>
    </w:p>
    <w:p>
      <w:pPr>
        <w:pStyle w:val="Bibliographie"/>
        <w:rPr/>
      </w:pPr>
      <w:r>
        <w:rPr/>
        <w:t>9.</w:t>
        <w:tab/>
        <w:t>Basinga P, Gertler PJ, Binagwaho A, Soucat AL, Sturdy J, Vermeersch CM. Effect on maternal and child health services in Rwanda of payment to primary health-care providers for performance: an impact evaluation. Lancet. 2011;377(9775):1421-8. doi:10.1016/S0140-6736(11)60177-3</w:t>
      </w:r>
    </w:p>
    <w:p>
      <w:pPr>
        <w:pStyle w:val="Bibliographie"/>
        <w:rPr/>
      </w:pPr>
      <w:r>
        <w:rPr/>
        <w:t>10.</w:t>
        <w:tab/>
        <w:t>Nsanzabera F, Irakoze E, Manishimwe A, Nsengiyumva JB, Mwiseneza A, Ntakirutimana E, et al. Improving early childhood nutrition practices through parents' evening forums in rural Rwanda. Public Health Nutr. 2025;28(1):e136. doi:10.1017/S1368980025100803</w:t>
      </w:r>
    </w:p>
    <w:p>
      <w:pPr>
        <w:pStyle w:val="Bibliographie"/>
        <w:spacing w:lineRule="auto" w:line="240" w:before="0" w:after="20"/>
        <w:ind w:hanging="567" w:left="567"/>
        <w:jc w:val="left"/>
        <w:rPr/>
      </w:pPr>
      <w:r>
        <w:rPr/>
        <w:t>11.</w:t>
        <w:tab/>
        <w:t>Musabyimana A, Lundeen T, Butrick E, Sayinzoga F, Rwabufigiri BN, Walker D, Musange SF. Before and after implementation of group antenatal care in Rwanda: a qualitative study of women’s experiences. Reprod Health. 2019;16(1):90. doi:10.1186/s12978-019-0750-5</w:t>
      </w:r>
    </w:p>
    <w:sectPr>
      <w:footerReference w:type="even" r:id="rId2"/>
      <w:footerReference w:type="default" r:id="rId3"/>
      <w:footerReference w:type="first" r:id="rId4"/>
      <w:type w:val="nextPage"/>
      <w:pgSz w:w="11906" w:h="16838"/>
      <w:pgMar w:left="1701" w:right="1418" w:gutter="0" w:header="0" w:top="1418" w:footer="709" w:bottom="1418"/>
      <w:pgNumType w:fmt="decimal"/>
      <w:formProt w:val="false"/>
      <w:textDirection w:val="lrTb"/>
      <w:docGrid w:type="default" w:linePitch="360" w:charSpace="429495910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888888"/>
        <w:sz w:val="16"/>
        <w:szCs w:val="16"/>
      </w:rPr>
      <w:t xml:space="preserve">Rapport de mémoire — MUKAKI DUNIA Jacques · version d'entraînement · </w:t>
    </w:r>
    <w:r>
      <w:rPr/>
      <w:fldChar w:fldCharType="begin"/>
    </w:r>
    <w:r>
      <w:rPr/>
      <w:instrText xml:space="preserve"> PAGE </w:instrText>
    </w:r>
    <w:r>
      <w:rPr/>
      <w:fldChar w:fldCharType="separate"/>
    </w:r>
    <w:r>
      <w:rPr/>
      <w:t>10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888888"/>
        <w:sz w:val="16"/>
        <w:szCs w:val="16"/>
      </w:rPr>
      <w:t xml:space="preserve">Rapport de mémoire — MUKAKI DUNIA Jacques · version d'entraînement · </w:t>
    </w:r>
    <w:r>
      <w:rPr/>
      <w:fldChar w:fldCharType="begin"/>
    </w:r>
    <w:r>
      <w:rPr/>
      <w:instrText xml:space="preserve"> PAGE </w:instrText>
    </w:r>
    <w:r>
      <w:rPr/>
      <w:fldChar w:fldCharType="separate"/>
    </w:r>
    <w:r>
      <w:rPr/>
      <w:t>10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8"/>
        <w:szCs w:val="28"/>
        <w:lang w:val="en-US" w:eastAsia="zh-CN" w:bidi="hi-IN"/>
      </w:rPr>
    </w:rPrDefault>
    <w:pPrDefault>
      <w:pPr>
        <w:suppressAutoHyphens w:val="true"/>
      </w:pPr>
    </w:pPrDefault>
  </w:docDefaults>
  <w:style w:type="paragraph" w:styleId="Normal" w:default="1">
    <w:name w:val="Normal"/>
    <w:qFormat/>
    <w:pPr>
      <w:widowControl w:val="false"/>
      <w:bidi w:val="0"/>
      <w:spacing w:lineRule="auto" w:line="360" w:before="0" w:after="120"/>
      <w:jc w:val="both"/>
    </w:pPr>
    <w:rPr>
      <w:rFonts w:ascii="Times New Roman" w:hAnsi="Times New Roman" w:eastAsia="Times New Roman" w:cs="Times New Roman"/>
      <w:color w:val="auto"/>
      <w:sz w:val="28"/>
      <w:szCs w:val="28"/>
      <w:lang w:val="en-US" w:eastAsia="zh-CN" w:bidi="hi-IN"/>
    </w:rPr>
  </w:style>
  <w:style w:type="paragraph" w:styleId="Heading1">
    <w:name w:val="Heading 1"/>
    <w:basedOn w:val="Normal"/>
    <w:next w:val="Normal"/>
    <w:qFormat/>
    <w:pPr>
      <w:keepNext w:val="true"/>
      <w:keepLines/>
      <w:spacing w:lineRule="auto" w:line="360" w:before="360" w:after="120"/>
      <w:jc w:val="left"/>
      <w:outlineLvl w:val="0"/>
    </w:pPr>
    <w:rPr>
      <w:rFonts w:ascii="Times New Roman" w:hAnsi="Times New Roman" w:eastAsia="Times New Roman" w:cs="Times New Roman"/>
      <w:b/>
      <w:bCs/>
      <w:i w:val="false"/>
      <w:iCs w:val="false"/>
      <w:color w:val="000000"/>
      <w:sz w:val="28"/>
      <w:szCs w:val="28"/>
    </w:rPr>
  </w:style>
  <w:style w:type="paragraph" w:styleId="Heading2">
    <w:name w:val="Heading 2"/>
    <w:basedOn w:val="Normal"/>
    <w:next w:val="Normal"/>
    <w:qFormat/>
    <w:pPr>
      <w:keepNext w:val="true"/>
      <w:keepLines/>
      <w:spacing w:lineRule="auto" w:line="360" w:before="240" w:after="120"/>
      <w:jc w:val="left"/>
      <w:outlineLvl w:val="1"/>
    </w:pPr>
    <w:rPr>
      <w:rFonts w:ascii="Times New Roman" w:hAnsi="Times New Roman" w:eastAsia="Times New Roman" w:cs="Times New Roman"/>
      <w:b/>
      <w:bCs/>
      <w:i w:val="false"/>
      <w:iCs w:val="false"/>
      <w:color w:val="000000"/>
      <w:sz w:val="28"/>
      <w:szCs w:val="28"/>
    </w:rPr>
  </w:style>
  <w:style w:type="paragraph" w:styleId="Heading3">
    <w:name w:val="Heading 3"/>
    <w:basedOn w:val="Normal"/>
    <w:next w:val="Normal"/>
    <w:qFormat/>
    <w:pPr>
      <w:keepNext w:val="true"/>
      <w:keepLines/>
      <w:spacing w:lineRule="auto" w:line="360" w:before="180" w:after="120"/>
      <w:jc w:val="left"/>
      <w:outlineLvl w:val="2"/>
    </w:pPr>
    <w:rPr>
      <w:rFonts w:ascii="Times New Roman" w:hAnsi="Times New Roman" w:eastAsia="Times New Roman" w:cs="Times New Roman"/>
      <w:b/>
      <w:bCs/>
      <w:i/>
      <w:iCs/>
      <w:color w:val="000000"/>
      <w:sz w:val="28"/>
      <w:szCs w:val="28"/>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extecompact">
    <w:name w:val="Texte compact"/>
    <w:basedOn w:val="Normal"/>
    <w:qFormat/>
    <w:pPr>
      <w:spacing w:lineRule="auto" w:line="360" w:before="0" w:after="80"/>
      <w:jc w:val="left"/>
    </w:pPr>
    <w:rPr>
      <w:rFonts w:ascii="Times New Roman" w:hAnsi="Times New Roman" w:eastAsia="Times New Roman" w:cs="Times New Roman"/>
      <w:sz w:val="28"/>
      <w:szCs w:val="28"/>
    </w:rPr>
  </w:style>
  <w:style w:type="paragraph" w:styleId="Titrecompact">
    <w:name w:val="Titre compact"/>
    <w:basedOn w:val="Textecompact"/>
    <w:next w:val="Textecompact"/>
    <w:qFormat/>
    <w:pPr>
      <w:keepNext w:val="true"/>
      <w:spacing w:before="160" w:after="80"/>
      <w:jc w:val="left"/>
    </w:pPr>
    <w:rPr>
      <w:b/>
      <w:bCs/>
    </w:rPr>
  </w:style>
  <w:style w:type="paragraph" w:styleId="Bibliographie">
    <w:name w:val="Bibliographie"/>
    <w:basedOn w:val="Normal"/>
    <w:qFormat/>
    <w:pPr>
      <w:spacing w:lineRule="auto" w:line="240" w:before="0" w:after="20"/>
      <w:ind w:hanging="567" w:left="567"/>
      <w:jc w:val="left"/>
    </w:pPr>
    <w:rPr>
      <w:rFonts w:ascii="Times New Roman" w:hAnsi="Times New Roman" w:eastAsia="Times New Roman" w:cs="Times New Roman"/>
      <w:sz w:val="28"/>
      <w:szCs w:val="28"/>
    </w:rPr>
  </w:style>
  <w:style w:type="paragraph" w:styleId="TOC1">
    <w:name w:val="TOC 1"/>
    <w:basedOn w:val="Normal"/>
    <w:next w:val="Normal"/>
    <w:pPr>
      <w:spacing w:lineRule="auto" w:line="360" w:before="0" w:after="0"/>
      <w:ind w:left="0"/>
      <w:jc w:val="left"/>
    </w:pPr>
    <w:rPr>
      <w:rFonts w:ascii="Times New Roman" w:hAnsi="Times New Roman" w:eastAsia="Times New Roman" w:cs="Times New Roman"/>
      <w:sz w:val="28"/>
      <w:szCs w:val="28"/>
    </w:rPr>
  </w:style>
  <w:style w:type="paragraph" w:styleId="TOC2">
    <w:name w:val="TOC 2"/>
    <w:basedOn w:val="Normal"/>
    <w:next w:val="Normal"/>
    <w:pPr>
      <w:spacing w:lineRule="auto" w:line="360" w:before="0" w:after="0"/>
      <w:ind w:left="240"/>
      <w:jc w:val="left"/>
    </w:pPr>
    <w:rPr>
      <w:rFonts w:ascii="Times New Roman" w:hAnsi="Times New Roman" w:eastAsia="Times New Roman" w:cs="Times New Roman"/>
      <w:sz w:val="28"/>
      <w:szCs w:val="28"/>
    </w:rPr>
  </w:style>
  <w:style w:type="paragraph" w:styleId="TOC3">
    <w:name w:val="TOC 3"/>
    <w:basedOn w:val="Normal"/>
    <w:next w:val="Normal"/>
    <w:pPr>
      <w:spacing w:lineRule="auto" w:line="360" w:before="0" w:after="0"/>
      <w:ind w:left="480"/>
      <w:jc w:val="left"/>
    </w:pPr>
    <w:rPr>
      <w:rFonts w:ascii="Times New Roman" w:hAnsi="Times New Roman" w:eastAsia="Times New Roman" w:cs="Times New Roman"/>
      <w:sz w:val="28"/>
      <w:szCs w:val="28"/>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2026-10-03T09:56:13Z</dcterms:created>
  <dc:creator>Un-named</dc:creator>
  <dc:description/>
  <dc:language>en-US</dc:language>
  <cp:lastModifiedBy>Un-named</cp:lastModifiedBy>
  <dcterms:modified xsi:type="dcterms:W3CDTF">2026-10-03T09:56:13Z</dcterms:modified>
  <cp:revision>1</cp:revision>
  <dc:subject/>
  <dc:title/>
</cp:coreProperties>
</file>