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Résultats, à partir du projet QualiCode « Mémoire Ngoma — SIMULATION de formation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Les résultats du mémoire réel devront être rédigés à partir des données réelles, et ne rien reprendre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140"/>
        <w:jc w:val="both"/>
      </w:pPr>
      <w:r>
        <w:rPr>
          <w:i w:val="false"/>
          <w:iCs w:val="false"/>
          <w:sz w:val="22"/>
          <w:szCs w:val="22"/>
        </w:rPr>
        <w:t xml:space="preserve">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traduits du kinyarwanda sont signalés ; dans le mémoire réel, la version originale les accompagne (§ 4.2.6).</w:t>
      </w:r>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6026"/>
            <w:tcMar>
              <w:top w:type="dxa" w:w="60"/>
              <w:left w:type="dxa" w:w="100"/>
              <w:bottom w:type="dxa" w:w="60"/>
              <w:right w:type="dxa" w:w="100"/>
            </w:tcMar>
          </w:tcPr>
          <w:p>
            <w:r>
              <w:rPr>
                <w:b w:val="false"/>
                <w:bCs w:val="false"/>
                <w:i w:val="false"/>
                <w:iCs w:val="false"/>
                <w:sz w:val="19"/>
                <w:szCs w:val="19"/>
              </w:rPr>
              <w:t xml:space="preserve">présent : 0 ; absent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pour une femme enceinte</w:t>
            </w:r>
          </w:p>
        </w:tc>
        <w:tc>
          <w:tcPr>
            <w:tcW w:type="dxa" w:w="6026"/>
            <w:tcMar>
              <w:top w:type="dxa" w:w="60"/>
              <w:left w:type="dxa" w:w="100"/>
              <w:bottom w:type="dxa" w:w="60"/>
              <w:right w:type="dxa" w:w="100"/>
            </w:tcMar>
          </w:tcPr>
          <w:p>
            <w:r>
              <w:rPr>
                <w:b w:val="false"/>
                <w:bCs w:val="false"/>
                <w:i w:val="false"/>
                <w:iCs w:val="false"/>
                <w:sz w:val="19"/>
                <w:szCs w:val="19"/>
              </w:rPr>
              <w:t xml:space="preserve">au laboratoire, sur bon de la CPN : 5 ; dont payée par la femme : 5 ; glucomètre réservé aux malades chroniques : 3 ; impossible (panne, bandelettes absentes ou périmées) : 6 ; pas de glucomètre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140"/>
        <w:jc w:val="both"/>
      </w:pPr>
      <w:r>
        <w:rPr>
          <w:i w:val="false"/>
          <w:iCs w:val="false"/>
          <w:sz w:val="22"/>
          <w:szCs w:val="22"/>
        </w:rPr>
        <w:t xml:space="preserve">Le tensiomètre était présent en salle de CPN dans les 15 centres. Un glucomètre existait dans 14 centres, mais jamais en salle de CPN : il était au laboratoire ou à la consultation des maladies chroniques. La glycémie d'une femme enceinte n'était réalisable, sur bon de la CPN, que dans 5 centres, pour les seules femmes présentant un signe d'appel ; dans 5 d'entre eux, le test, qui ne figure pas dans le paquet de soins de la CPN, restait payé par la femme. Ailleurs, le glucomètre était réservé aux malades chroniques (3), inutilisable (6) ou absent (1).</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n'est pas possible, sort du champ de pensée, ce que 4 participants décrivent comme un effet de l'impuissance.</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i w:val="false"/>
          <w:iCs w:val="false"/>
          <w:sz w:val="22"/>
          <w:szCs w:val="22"/>
        </w:rPr>
        <w:t xml:space="preserve">Définition. La tension est mesurée en CPN ; la recherche du diabète se fait ailleurs, au laboratoire ou à la consultation des maladies chroniques, sur des signes d'appel, avec des bandelettes que la CPN ne gère pas et un test que la femme paie. Là où ce circuit est fermé à la femme enceinte, la glycémie cesse d'être pensée.</w:t>
      </w:r>
    </w:p>
    <w:p>
      <w:pPr>
        <w:spacing w:after="140"/>
        <w:jc w:val="both"/>
      </w:pPr>
      <w:r>
        <w:rPr>
          <w:i w:val="false"/>
          <w:iCs w:val="false"/>
          <w:sz w:val="22"/>
          <w:szCs w:val="22"/>
        </w:rPr>
        <w:t xml:space="preserve">Même la tension connaît des omissions : 9 participants décrivent des mesures sautées faute d'appareil disponible. Pour la glycémie, aucun ne décrit un geste réalisé en salle de CPN ; 12 décrivent le circuit du bon, du laboratoire et des bandelettes réservées d'abord aux malades chroniques.</w:t>
      </w:r>
    </w:p>
    <w:p>
      <w:pPr>
        <w:spacing w:after="40" w:before="60"/>
        <w:ind w:left="567" w:right="567"/>
        <w:jc w:val="both"/>
      </w:pPr>
      <w:r>
        <w:rPr>
          <w:i/>
          <w:iCs/>
          <w:sz w:val="21"/>
          <w:szCs w:val="21"/>
        </w:rPr>
        <w:t xml:space="preserve">« Le sucre, il y a un appareil au laboratoire, pour les malades chroniques. Pour les femmes enceintes, on ne l'a jamais fait. Jamais.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Là où le circuit est ouvert, deux sélections s'ajoutent. La première porte sur les signes : le bon n'est rédigé que pour les femmes qui présentent un signe d'appel ou un facteur de risque, selon le jugement du professionnel ou une habitude transmise entre collègues. La seconde porte sur les moyens : 6 participants rapportent que le test, absent du paquet de soins de la CPN, est payé au laboratoire, et que celles qui n'ont pas l'argent le jour même repartent sans l'avoir fait.</w:t>
      </w:r>
    </w:p>
    <w:p>
      <w:pPr>
        <w:spacing w:after="40" w:before="60"/>
        <w:ind w:left="567" w:right="567"/>
        <w:jc w:val="both"/>
      </w:pPr>
      <w:r>
        <w:rPr>
          <w:i/>
          <w:iCs/>
          <w:sz w:val="21"/>
          <w:szCs w:val="21"/>
        </w:rPr>
        <w:t xml:space="preserve">« Le test n'est pas dans le paquet de la CPN : au laboratoire, elle doit le payer. Celle qui n'a pas l'argent ce jour-là repart avec le bon dans son carnet, et pour ça, souvent, elle ne revient pas.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Le savoir lui-même s'érode lorsqu'il n'est pas pratiqué : 4 participants décrivent une compétence acquise en formation puis désapprise faute d'outil.</w:t>
      </w:r>
    </w:p>
    <w:p>
      <w:pPr>
        <w:spacing w:after="40" w:before="60"/>
        <w:ind w:left="567" w:right="567"/>
        <w:jc w:val="both"/>
      </w:pPr>
      <w:r>
        <w:rPr>
          <w:i/>
          <w:iCs/>
          <w:sz w:val="21"/>
          <w:szCs w:val="21"/>
        </w:rPr>
        <w:t xml:space="preserve">« J'ai la connaissance et je n'ai pas l'outil. C'est comme apprendre à conduire et ne pas avoir de voiture. Et avec le temps j'ai peur d'oublier.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14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Donc je donne le plus à celle qui a déjà, et le moins à celle qui n'a rien. »</w:t>
      </w:r>
    </w:p>
    <w:p>
      <w:pPr>
        <w:spacing w:after="160"/>
        <w:ind w:left="567" w:right="567"/>
        <w:jc w:val="right"/>
      </w:pPr>
      <w:r>
        <w:rPr>
          <w:color w:val="444444"/>
          <w:sz w:val="19"/>
          <w:szCs w:val="19"/>
        </w:rPr>
        <w:t xml:space="preserve">(P02, sage-femme)</w:t>
      </w:r>
    </w:p>
    <w:p>
      <w:pPr>
        <w:spacing w:after="14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14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(4) et l'absence de maintenance des appareils (5) limitent le dépistage ; un poste de constantes tenu par une personne dédiée est le facilitateur le plus cité.</w:t>
      </w:r>
    </w:p>
    <w:p>
      <w:pPr>
        <w:spacing w:after="40" w:before="60"/>
        <w:ind w:left="567" w:right="567"/>
        <w:jc w:val="both"/>
      </w:pPr>
      <w:r>
        <w:rPr>
          <w:i/>
          <w:iCs/>
          <w:sz w:val="21"/>
          <w:szCs w:val="21"/>
        </w:rPr>
        <w:t xml:space="preserve">« Nous sommes deux pour la CPN et la maternité en même temps. Un accouchement ne peut pas attendre. Donc c'est la CPN qui attend, toujours. »</w:t>
      </w:r>
    </w:p>
    <w:p>
      <w:pPr>
        <w:spacing w:after="160"/>
        <w:ind w:left="567" w:right="567"/>
        <w:jc w:val="right"/>
      </w:pPr>
      <w:r>
        <w:rPr>
          <w:color w:val="444444"/>
          <w:sz w:val="19"/>
          <w:szCs w:val="19"/>
        </w:rPr>
        <w:t xml:space="preserve">(P10, sage-femme — traduit du kinyarwanda)</w:t>
      </w:r>
    </w:p>
    <w:p>
      <w:pPr>
        <w:pStyle w:val="Heading3"/>
        <w:spacing w:after="100" w:before="180"/>
      </w:pPr>
      <w:r>
        <w:t xml:space="preserve">5.3.2. Thème 4 — Ce qui est compté existe</w:t>
      </w:r>
    </w:p>
    <w:p>
      <w:pPr>
        <w:spacing w:after="14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S'il y avait un chiffre à rendre sur les glycémies faites, l'appareil serait réparé depuis longtemps. »</w:t>
      </w:r>
    </w:p>
    <w:p>
      <w:pPr>
        <w:spacing w:after="160"/>
        <w:ind w:left="567" w:right="567"/>
        <w:jc w:val="right"/>
      </w:pPr>
      <w:r>
        <w:rPr>
          <w:color w:val="444444"/>
          <w:sz w:val="19"/>
          <w:szCs w:val="19"/>
        </w:rPr>
        <w:t xml:space="preserve">(P09, infirmière — traduit du kinyarwanda)</w:t>
      </w:r>
    </w:p>
    <w:p>
      <w:pPr>
        <w:pStyle w:val="Heading3"/>
        <w:spacing w:after="100" w:before="180"/>
      </w:pPr>
      <w:r>
        <w:t xml:space="preserve">5.3.3. Thème 5 — Ce que change la dotation, et ce qu'elle ne change pas</w:t>
      </w:r>
    </w:p>
    <w:p>
      <w:pPr>
        <w:spacing w:after="140"/>
        <w:jc w:val="both"/>
      </w:pPr>
      <w:r>
        <w:rPr>
          <w:i w:val="false"/>
          <w:iCs w:val="false"/>
          <w:sz w:val="22"/>
          <w:szCs w:val="22"/>
        </w:rPr>
        <w:t xml:space="preserve">Définition. L'équipement réduit l'inégalité du test, mais ni celle du coût ni celle de l'explication, et il est réparti au bénéfice des centres déjà les mieux placés. Là où le laboratoire accepte les bons de la CPN, le dépistage glycémique devient une routine ciblée ; mais même dans le centre le mieux pourvu, le test reste payé par la femme, et l'explication reste soumise au temps disponible. Six participants estiment que le lieu d'exercice décide de ce que reçoivent les femmes.</w:t>
      </w:r>
    </w:p>
    <w:p>
      <w:pPr>
        <w:spacing w:after="40" w:before="60"/>
        <w:ind w:left="567" w:right="567"/>
        <w:jc w:val="both"/>
      </w:pPr>
      <w:r>
        <w:rPr>
          <w:i/>
          <w:iCs/>
          <w:sz w:val="21"/>
          <w:szCs w:val="21"/>
        </w:rPr>
        <w:t xml:space="preserve">« Le titulaire laisse passer celles qui ne peuvent pas payer, mais c'est un arrangement, ce n'est écrit nulle part. »</w:t>
      </w:r>
    </w:p>
    <w:p>
      <w:pPr>
        <w:spacing w:after="160"/>
        <w:ind w:left="567" w:right="567"/>
        <w:jc w:val="right"/>
      </w:pPr>
      <w:r>
        <w:rPr>
          <w:color w:val="444444"/>
          <w:sz w:val="19"/>
          <w:szCs w:val="19"/>
        </w:rPr>
        <w:t xml:space="preserve">(P11, sage-femme)</w:t>
      </w:r>
    </w:p>
    <w:p>
      <w:pPr>
        <w:spacing w:after="40" w:before="60"/>
        <w:ind w:left="567" w:right="567"/>
        <w:jc w:val="both"/>
      </w:pPr>
      <w:r>
        <w:rPr>
          <w:i/>
          <w:iCs/>
          <w:sz w:val="21"/>
          <w:szCs w:val="21"/>
        </w:rPr>
        <w:t xml:space="preserve">« Le matériel règle l'inégalité du test ; il ne règle pas celle de l'explication. »</w:t>
      </w:r>
    </w:p>
    <w:p>
      <w:pPr>
        <w:spacing w:after="160"/>
        <w:ind w:left="567" w:right="567"/>
        <w:jc w:val="right"/>
      </w:pPr>
      <w:r>
        <w:rPr>
          <w:color w:val="444444"/>
          <w:sz w:val="19"/>
          <w:szCs w:val="19"/>
        </w:rPr>
        <w:t xml:space="preserve">(P11, sage-femme)</w:t>
      </w:r>
    </w:p>
    <w:p>
      <w:pPr>
        <w:pStyle w:val="Heading3"/>
        <w:spacing w:after="100" w:before="180"/>
      </w:pPr>
      <w:r>
        <w:t xml:space="preserve">5.3.4.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w:t>
      </w:r>
    </w:p>
    <w:p>
      <w:pPr>
        <w:spacing w:after="40" w:before="60"/>
        <w:ind w:left="567" w:right="567"/>
        <w:jc w:val="both"/>
      </w:pPr>
      <w:r>
        <w:rPr>
          <w:i/>
          <w:iCs/>
          <w:sz w:val="21"/>
          <w:szCs w:val="21"/>
        </w:rPr>
        <w:t xml:space="preserve">« pour nous qui sommes loin, une référence n'est pas une feuille de papier, c'est un véhicule. Tant qu'il n'y a pas de véhicule, la référence est une idée.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pStyle w:val="Heading3"/>
        <w:spacing w:after="100" w:before="180"/>
      </w:pPr>
      <w:r>
        <w:t xml:space="preserve">5.3.5. Conditions sociales perçues</w:t>
      </w:r>
    </w:p>
    <w:p>
      <w:pPr>
        <w:spacing w:after="140"/>
        <w:jc w:val="both"/>
      </w:pPr>
      <w:r>
        <w:rPr>
          <w:i w:val="false"/>
          <w:iCs w:val="false"/>
          <w:sz w:val="22"/>
          <w:szCs w:val="22"/>
        </w:rPr>
        <w:t xml:space="preserve">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spacing w:after="40" w:before="60"/>
        <w:ind w:left="567" w:right="567"/>
        <w:jc w:val="both"/>
      </w:pPr>
      <w:r>
        <w:rPr>
          <w:i/>
          <w:iCs/>
          <w:sz w:val="21"/>
          <w:szCs w:val="21"/>
        </w:rPr>
        <w:t xml:space="preserve">« Nous perdons des femmes par nos propres ruptures.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5.3.6.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14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les agents de santé communautaire pour suivre les femmes référées, sans qu'aucune règle ne le prévoie ; l'écart passe alors entre les villages qui ont un agent actif et les autres.</w:t>
      </w:r>
    </w:p>
    <w:p>
      <w:pPr>
        <w:spacing w:after="40" w:before="60"/>
        <w:ind w:left="567" w:right="567"/>
        <w:jc w:val="both"/>
      </w:pPr>
      <w:r>
        <w:rPr>
          <w:i/>
          <w:iCs/>
          <w:sz w:val="21"/>
          <w:szCs w:val="21"/>
        </w:rPr>
        <w:t xml:space="preserve">« Ce n'est pas la femme qui change, c'est l'agent. »</w:t>
      </w:r>
    </w:p>
    <w:p>
      <w:pPr>
        <w:spacing w:after="160"/>
        <w:ind w:left="567" w:right="567"/>
        <w:jc w:val="right"/>
      </w:pPr>
      <w:r>
        <w:rPr>
          <w:color w:val="444444"/>
          <w:sz w:val="19"/>
          <w:szCs w:val="19"/>
        </w:rPr>
        <w:t xml:space="preserve">(P15, sage-femme — traduit du kinyarwanda)</w:t>
      </w:r>
    </w:p>
    <w:p>
      <w:pPr>
        <w:pStyle w:val="Heading2"/>
        <w:spacing w:after="120" w:before="220"/>
      </w:pPr>
      <w:r>
        <w:t xml:space="preserve">5.4. Portée reconnue en équité et transformations proposées</w:t>
      </w:r>
    </w:p>
    <w:p>
      <w:pPr>
        <w:spacing w:after="140"/>
        <w:jc w:val="both"/>
      </w:pPr>
      <w:r>
        <w:rPr>
          <w:i w:val="false"/>
          <w:iCs w:val="false"/>
          <w:sz w:val="22"/>
          <w:szCs w:val="22"/>
        </w:rPr>
        <w:t xml:space="preserve">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jc w:val="left"/>
            </w:pPr>
            <w:r>
              <w:rPr>
                <w:b/>
                <w:bCs/>
                <w:sz w:val="19"/>
                <w:szCs w:val="19"/>
              </w:rPr>
              <w:t xml:space="preserve">Sages-femmes (n = 10)</w:t>
            </w:r>
          </w:p>
        </w:tc>
        <w:tc>
          <w:tcPr>
            <w:tcW w:type="dxa" w:w="1400"/>
            <w:shd w:fill="E8EDF2" w:color="auto" w:val="clear"/>
            <w:tcMar>
              <w:top w:type="dxa" w:w="60"/>
              <w:left w:type="dxa" w:w="100"/>
              <w:bottom w:type="dxa" w:w="60"/>
              <w:right w:type="dxa" w:w="100"/>
            </w:tcMar>
          </w:tcPr>
          <w:p>
            <w:pPr>
              <w:jc w:val="left"/>
            </w:pPr>
            <w:r>
              <w:rPr>
                <w:b/>
                <w:bCs/>
                <w:sz w:val="19"/>
                <w:szCs w:val="19"/>
              </w:rPr>
              <w:t xml:space="preserve">Total (n = 20)</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10</w:t>
            </w:r>
          </w:p>
        </w:tc>
        <w:tc>
          <w:tcPr>
            <w:tcW w:type="dxa" w:w="1400"/>
            <w:tcMar>
              <w:top w:type="dxa" w:w="60"/>
              <w:left w:type="dxa" w:w="100"/>
              <w:bottom w:type="dxa" w:w="60"/>
              <w:right w:type="dxa" w:w="100"/>
            </w:tcMar>
          </w:tcPr>
          <w:p>
            <w:pPr>
              <w:jc w:val="center"/>
            </w:pPr>
            <w:r>
              <w:rPr>
                <w:b w:val="false"/>
                <w:bCs w:val="false"/>
                <w:sz w:val="19"/>
                <w:szCs w:val="19"/>
              </w:rPr>
              <w:t xml:space="preserve">16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400"/>
            <w:tcMar>
              <w:top w:type="dxa" w:w="60"/>
              <w:left w:type="dxa" w:w="100"/>
              <w:bottom w:type="dxa" w:w="60"/>
              <w:right w:type="dxa" w:w="100"/>
            </w:tcMar>
          </w:tcPr>
          <w:p>
            <w:pPr>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juger</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jc w:val="center"/>
            </w:pPr>
            <w:r>
              <w:rPr>
                <w:b w:val="false"/>
                <w:bCs w:val="false"/>
                <w:sz w:val="19"/>
                <w:szCs w:val="19"/>
              </w:rPr>
              <w:t xml:space="preserve">7</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5</w:t>
            </w:r>
          </w:p>
        </w:tc>
        <w:tc>
          <w:tcPr>
            <w:tcW w:type="dxa" w:w="1400"/>
            <w:tcMar>
              <w:top w:type="dxa" w:w="60"/>
              <w:left w:type="dxa" w:w="100"/>
              <w:bottom w:type="dxa" w:w="60"/>
              <w:right w:type="dxa" w:w="100"/>
            </w:tcMar>
          </w:tcPr>
          <w:p>
            <w:pPr>
              <w:jc w:val="center"/>
            </w:pPr>
            <w:r>
              <w:rPr>
                <w:b w:val="false"/>
                <w:bCs w:val="false"/>
                <w:sz w:val="19"/>
                <w:szCs w:val="19"/>
              </w:rPr>
              <w:t xml:space="preserve">11</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jc w:val="center"/>
            </w:pPr>
            <w:r>
              <w:rPr>
                <w:b w:val="false"/>
                <w:bCs w:val="false"/>
                <w:sz w:val="19"/>
                <w:szCs w:val="19"/>
              </w:rPr>
              <w:t xml:space="preserve">3</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40" w:before="60"/>
        <w:ind w:left="567" w:right="567"/>
        <w:jc w:val="both"/>
      </w:pPr>
      <w:r>
        <w:rPr>
          <w:i/>
          <w:iCs/>
          <w:sz w:val="21"/>
          <w:szCs w:val="21"/>
        </w:rPr>
        <w:t xml:space="preserve">«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140"/>
        <w:jc w:val="both"/>
      </w:pPr>
      <w:r>
        <w:rPr>
          <w:i w:val="false"/>
          <w:iCs w:val="false"/>
          <w:sz w:val="22"/>
          <w:szCs w:val="22"/>
        </w:rPr>
        <w:t xml:space="preserve">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pStyle w:val="Heading2"/>
        <w:spacing w:after="120" w:before="220"/>
      </w:pPr>
      <w:r>
        <w:t xml:space="preserve">5.5. Triangulation et synthèse</w:t>
      </w:r>
    </w:p>
    <w:p>
      <w:pPr>
        <w:spacing w:after="140"/>
        <w:jc w:val="both"/>
      </w:pPr>
      <w:r>
        <w:rPr>
          <w:i w:val="false"/>
          <w:iCs w:val="false"/>
          <w:sz w:val="22"/>
          <w:szCs w:val="22"/>
        </w:rPr>
        <w:t xml:space="preserve">Sur les 15 centres observés, 7 ont fait l'objet d'un constat de confrontation entre propos et observation : 5 concordances et 2 écarts. L'observation a situé le glucomètre au laboratoire, confirmé le circuit de la glycémie là où il fonctionne et corroboré l'effet de registre du thème 6 ; les écarts, consignés sans être imputés à une intention, portent sur une mesure déclarée systématique et sur une explication déclarée individualisée. Les données de routine, qui ne collectent pas la glycémie de CPN, montrent un premier contact plus tardif dans les secteurs les plus pauvres.</w:t>
      </w:r>
    </w:p>
    <w:p>
      <w:pPr>
        <w:spacing w:after="140"/>
        <w:jc w:val="both"/>
      </w:pPr>
      <w:r>
        <w:rPr>
          <w:i w:val="false"/>
          <w:iCs w:val="false"/>
          <w:sz w:val="22"/>
          <w:szCs w:val="22"/>
        </w:rPr>
        <w:t xml:space="preserve">Le tableau VII rassemble les sept thèmes. Ils décrivent un dépistage dont la réalisation dépend moins de la volonté des professionnels que de conditions qu'ils ne maîtrisent pas — le circuit et le coût de la glycémie, le temps, le véhicule, l'indicateur —, mais aussi d'une part qui leur revient : l'explication.</w:t>
      </w:r>
    </w:p>
    <w:p>
      <w:pPr>
        <w:keepNext/>
        <w:spacing w:after="80" w:before="200"/>
      </w:pPr>
      <w:r>
        <w:rPr>
          <w:b/>
          <w:bCs/>
          <w:sz w:val="20"/>
          <w:szCs w:val="20"/>
        </w:rPr>
        <w:t xml:space="preserve">Tableau VII.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intégrée à la CPN ; la glycémie, demandée sur des signes d'appel, se fait au laboratoire ou à la consultation des maladies chroniques, aux frais de la femme, et cesse d'être pensée là où ce circuit est fermé à la femme enceinte.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réduit l'inégalité du test, mais ni celle du coût ni celle de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2026-10-02T11:30:09.418Z</dcterms:created>
  <dcterms:modified xsi:type="dcterms:W3CDTF">2026-10-02T11:30:09.418Z</dcterms:modified>
</cp:coreProperties>
</file>

<file path=docProps/custom.xml><?xml version="1.0" encoding="utf-8"?>
<Properties xmlns="http://schemas.openxmlformats.org/officeDocument/2006/custom-properties" xmlns:vt="http://schemas.openxmlformats.org/officeDocument/2006/docPropsVTypes"/>
</file>