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w:t>
      </w:r>
    </w:p>
    <w:p/>
    <w:p>
      <w:pPr>
        <w:spacing w:after="60" w:before="60"/>
        <w:jc w:val="center"/>
      </w:pPr>
      <w:r>
        <w:rPr>
          <w:i/>
          <w:iCs/>
        </w:rPr>
        <w:t xml:space="preserve">Version d'entraînement — entretiens et observations fictifs, à remplacer par les données du terrain</w:t>
      </w:r>
    </w:p>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références sont numérotées dans l'ordre de leur première citation (Vancouver).</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de collecte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after="160" w:before="280"/>
      </w:pPr>
      <w:r>
        <w:t xml:space="preserve">1. CONTEXTE ET JUSTIFICATION</w:t>
      </w:r>
    </w:p>
    <w:p>
      <w:pPr>
        <w:spacing w:after="8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xml:space="preserve">. Le Rwanda a adopté le paquet d'interventions essentielles de l'OMS contre les maladies non transmissibles</w:t>
      </w:r>
      <w:r>
        <w:rPr/>
        <w:t xml:space="preserve"> [2]</w:t>
      </w:r>
      <w:r>
        <w:rPr>
          <w:i w:val="false"/>
          <w:iCs w:val="false"/>
        </w:rPr>
        <w:t xml:space="preserve">.</w:t>
      </w:r>
    </w:p>
    <w:p>
      <w:pPr>
        <w:spacing w:after="8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 xml:space="preserve">.</w:t>
      </w:r>
    </w:p>
    <w:p>
      <w:pPr>
        <w:spacing w:after="80"/>
        <w:jc w:val="both"/>
      </w:pPr>
      <w:r>
        <w:rPr>
          <w:i w:val="false"/>
          <w:iCs w:val="false"/>
        </w:rPr>
        <w:t xml:space="preserve">Au regard de la Charte d'Ottawa</w:t>
      </w:r>
      <w:r>
        <w:rPr/>
        <w:t xml:space="preserve"> [6]</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8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pPr>
      <w:r>
        <w:rPr>
          <w:b/>
          <w:bCs/>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Consentement écrit ; accord distinct pour la citation ; entretiens notés, sans enregistrement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Un test pour toutes, interrompu par les ruptures, les pannes et l'absence du laborantin</w:t>
      </w:r>
    </w:p>
    <w:p>
      <w:pPr>
        <w:spacing w:after="80"/>
        <w:jc w:val="both"/>
      </w:pPr>
      <w:r>
        <w:rPr>
          <w:i w:val="false"/>
          <w:iCs w:val="false"/>
        </w:rPr>
        <w:t xml:space="preserve">Dans les 15 centres, la CPN demande la glycémie pour toutes à la première visite et le laboratoire la réalise ; 6 services de CPN ont un glucomètre pour les urgences. Le jour de l'observation, le test n'était pas fait partout (tableau 2).</w:t>
      </w:r>
    </w:p>
    <w:p>
      <w:pPr>
        <w:keepNext/>
        <w:spacing w:after="80" w:before="200"/>
      </w:pPr>
      <w:r>
        <w:rPr>
          <w:b/>
          <w:bCs/>
        </w:rPr>
        <w:t xml:space="preserve">Tableau 2. Glycémie de la première CPN,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faite à toutes les femmes de première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8</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rupture de bandelettes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glucomètre du laboratoire en panne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laborantin absent</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au cours des trois derniers mois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Test manqué noté pour être refait au rendez-vous suivant</w:t>
            </w:r>
          </w:p>
        </w:tc>
        <w:tc>
          <w:tcPr>
            <w:tcW w:type="dxa" w:w="1947"/>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2</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80"/>
        <w:jc w:val="both"/>
      </w:pPr>
      <w:r>
        <w:rPr>
          <w:i w:val="false"/>
          <w:iCs w:val="false"/>
        </w:rPr>
        <w:t xml:space="preserve">L'analyse a dégagé sept thèmes, dont deux répondent au premier objectif et cinq au second (tableau 3).</w:t>
      </w:r>
    </w:p>
    <w:p>
      <w:pPr>
        <w:keepNext/>
        <w:spacing w:after="80" w:before="200"/>
      </w:pPr>
      <w:r>
        <w:rPr>
          <w:b/>
          <w:bCs/>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Un propos qui résume</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pStyle w:val="Heading2"/>
        <w:spacing w:after="120" w:before="220"/>
      </w:pPr>
      <w:r>
        <w:t xml:space="preserve">4.4. Ce que l'observation confirme ou nuance</w:t>
      </w:r>
    </w:p>
    <w:p>
      <w:pPr>
        <w:spacing w:after="80"/>
        <w:jc w:val="both"/>
      </w:pPr>
      <w:r>
        <w:rPr>
          <w:i w:val="false"/>
          <w:iCs w:val="false"/>
        </w:rPr>
        <w:t xml:space="preserve">La confrontation des entretiens avec l'observation et les données de routine a produit 8 constats : 6 concordances et 2 écarts ; elle seule a montré les interruptions du test et l'absence de rattrapage.</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after="80"/>
        <w:jc w:val="both"/>
      </w:pPr>
      <w:r>
        <w:rPr>
          <w:i w:val="false"/>
          <w:iCs w:val="false"/>
        </w:rPr>
        <w:t xml:space="preserve">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 xml:space="preserve">.</w:t>
      </w:r>
    </w:p>
    <w:p>
      <w:pPr>
        <w:pStyle w:val="ListParagraph"/>
        <w:numPr>
          <w:ilvl w:val="0"/>
          <w:numId w:val="1"/>
        </w:numPr>
        <w:spacing w:after="80"/>
        <w:jc w:val="both"/>
      </w:pPr>
      <w:r>
        <w:rPr>
          <w:i w:val="false"/>
          <w:iCs w:val="false"/>
        </w:rPr>
        <w:t xml:space="preserve">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 xml:space="preserve">.</w:t>
      </w:r>
    </w:p>
    <w:p>
      <w:pPr>
        <w:pStyle w:val="ListParagraph"/>
        <w:numPr>
          <w:ilvl w:val="0"/>
          <w:numId w:val="1"/>
        </w:numPr>
        <w:spacing w:after="80"/>
        <w:jc w:val="both"/>
      </w:pPr>
      <w:r>
        <w:rPr>
          <w:i w:val="false"/>
          <w:iCs w:val="false"/>
        </w:rPr>
        <w:t xml:space="preserve">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xml:space="preserve">) en ferait un instrument d'équité</w:t>
      </w:r>
      <w:r>
        <w:rPr/>
        <w:t xml:space="preserve"> [11]</w:t>
      </w:r>
      <w:r>
        <w:rPr>
          <w:i w:val="false"/>
          <w:iCs w:val="false"/>
        </w:rPr>
        <w:t xml:space="preserve">.</w:t>
      </w:r>
    </w:p>
    <w:p>
      <w:pPr>
        <w:pStyle w:val="ListParagraph"/>
        <w:numPr>
          <w:ilvl w:val="0"/>
          <w:numId w:val="1"/>
        </w:numPr>
        <w:spacing w:after="80"/>
        <w:jc w:val="both"/>
      </w:pPr>
      <w:r>
        <w:rPr>
          <w:i w:val="false"/>
          <w:iCs w:val="false"/>
        </w:rPr>
        <w:t xml:space="preserve">La dotation ne suffit pas. L'équipement réduit l'inégalité du test, pas celles de la référence et de l'explication.</w:t>
      </w:r>
    </w:p>
    <w:p>
      <w:pPr>
        <w:pStyle w:val="Heading1"/>
        <w:spacing w:after="160" w:before="280"/>
      </w:pPr>
      <w:r>
        <w:t xml:space="preserve">6. RECOMMANDATIONS</w:t>
      </w:r>
    </w:p>
    <w:p>
      <w:pPr>
        <w:keepNext/>
        <w:spacing w:after="80" w:before="200"/>
      </w:pPr>
      <w:r>
        <w:rPr>
          <w:b/>
          <w:bCs/>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type="dxa" w:w="165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Thèmes 3 et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80"/>
        <w:jc w:val="both"/>
      </w:pPr>
      <w:r>
        <w:rPr>
          <w:i w:val="false"/>
          <w:iCs w:val="false"/>
        </w:rPr>
        <w:t xml:space="preserve">Pratiques déclarées ; point de vue des femmes non recueilli ; propos notés sans enregistrement ; effet de présence de l'observateur ; données de routine limitées ; un seul district.</w:t>
      </w:r>
    </w:p>
    <w:p>
      <w:pPr>
        <w:pStyle w:val="Heading1"/>
        <w:spacing w:after="160" w:before="280"/>
      </w:pPr>
      <w:r>
        <w:t xml:space="preserve">8. CONCLUSION</w:t>
      </w:r>
    </w:p>
    <w:p>
      <w:pPr>
        <w:spacing w:after="80"/>
        <w:jc w:val="both"/>
      </w:pPr>
      <w:r>
        <w:rPr>
          <w:i w:val="false"/>
          <w:iCs w:val="false"/>
        </w:rPr>
        <w:t xml:space="preserve">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after="160" w:before="280"/>
      </w:pPr>
      <w:r>
        <w:t xml:space="preserve">RÉFÉRENCES</w:t>
      </w:r>
    </w:p>
    <w:p>
      <w:pPr>
        <w:pStyle w:val="Bibliographie"/>
      </w:pPr>
      <w:r>
        <w:t xml:space="preserve">1.	World Health Organization. WHO recommendations on antenatal care for a positive pregnancy experience. Geneva: WHO; 2016.</w:t>
      </w:r>
    </w:p>
    <w:p>
      <w:pPr>
        <w:pStyle w:val="Bibliographie"/>
      </w:pPr>
      <w:r>
        <w:t xml:space="preserve">2.	World Health Organization. WHO package of essential noncommunicable (PEN) disease interventions for primary health care. Geneva: WHO; 2020.</w:t>
      </w:r>
    </w:p>
    <w:p>
      <w:pPr>
        <w:pStyle w:val="Bibliographie"/>
      </w:pPr>
      <w:r>
        <w:t xml:space="preserve">3.	Rwanda Biomedical Centre, Ministry of Health, World Health Organization. Rwanda non-communicable diseases risk factors report: STEPS survey 2022. Kigali: Rwanda Biomedical Centre; 2023.</w:t>
      </w:r>
    </w:p>
    <w:p>
      <w:pPr>
        <w:pStyle w:val="Bibliographie"/>
      </w:pPr>
      <w:r>
        <w:t xml:space="preserve">4.	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pPr>
      <w:r>
        <w:t xml:space="preserve">5.	Meharry PM, Tengera O, Rulisa S, Byambu AK, Nietert PJ, Byiringiro S, et al. Prevalence of gestational diabetes mellitus among women attending antenatal care at public health centers in Rwanda. Diabetes Res Clin Pract. 2019;151:252-9.</w:t>
      </w:r>
    </w:p>
    <w:p>
      <w:pPr>
        <w:pStyle w:val="Bibliographie"/>
      </w:pPr>
      <w:r>
        <w:t xml:space="preserve">6.	World Health Organization. Ottawa Charter for Health Promotion. Geneva: WHO; 1986.</w:t>
      </w:r>
    </w:p>
    <w:p>
      <w:pPr>
        <w:pStyle w:val="Bibliographie"/>
      </w:pPr>
      <w:r>
        <w:t xml:space="preserve">7.	Rwanda Biomedical Centre, Ministry of Health. National antenatal care guidelines. Kigali: RBC; 2021. Disponible sur: https://rbc.gov.rw/MCCH/wp-content/uploads/2025/02/ANC-guideline_-final-Edited-4-February-2021-1-1.pdf</w:t>
      </w:r>
    </w:p>
    <w:p>
      <w:pPr>
        <w:pStyle w:val="Bibliographie"/>
      </w:pPr>
      <w:r>
        <w:t xml:space="preserve">8.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pPr>
      <w:r>
        <w:t xml:space="preserve">9.	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pPr>
      <w:r>
        <w:t xml:space="preserve">10.	Nsanzabera F, Irakoze E, Manishimwe A, Nsengiyumva JB, Mwiseneza A, Ntakirutimana E, et al. Improving early childhood nutrition practices through parents' evening forums in rural Rwanda. Public Health Nutr. 2025;28(1):e136. doi:10.1017/S1368980025100803</w:t>
      </w:r>
    </w:p>
    <w:p>
      <w:pPr>
        <w:pStyle w:val="Bibliographie"/>
      </w:pPr>
      <w:r>
        <w:t xml:space="preserve">11.	Musabyimana A, Lundeen T, Butrick E, Sayinzoga F, Rwabufigiri BN, Walker D, Musange SF. Before and after implementation of group antenatal care in Rwanda: a qualitative study of women’s experiences. Reprod Health. 2019;16(1):90. doi:10.1186/s12978-019-0750-5</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 MUKAKI DUNIA Jacques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2026-10-07T15:14:04.534Z</dcterms:created>
  <dcterms:modified xsi:type="dcterms:W3CDTF">2026-10-07T15:14:04.534Z</dcterms:modified>
</cp:coreProperties>
</file>

<file path=docProps/custom.xml><?xml version="1.0" encoding="utf-8"?>
<Properties xmlns="http://schemas.openxmlformats.org/officeDocument/2006/custom-properties" xmlns:vt="http://schemas.openxmlformats.org/officeDocument/2006/docPropsVTypes"/>
</file>