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Chapitre 5 — Résultats</w:t>
      </w:r>
    </w:p>
    <w:p/>
    <w:p>
      <w:pPr>
        <w:spacing w:after="60" w:before="60"/>
        <w:jc w:val="center"/>
      </w:pPr>
      <w:r>
        <w:rPr>
          <w:i/>
          <w:iCs/>
          <w:color w:val="7F8C8D"/>
          <w:sz w:val="18"/>
          <w:szCs w:val="18"/>
        </w:rPr>
        <w:t xml:space="preserve">Version d'entraînement — entretiens et observations fictifs, à remplacer par les données du terrain</w:t>
      </w:r>
    </w:p>
    <w:p/>
    <w:p>
      <w:pPr>
        <w:spacing w:after="80"/>
        <w:rPr>
          <w:sz w:val="20"/>
          <w:szCs w:val="20"/>
        </w:rPr>
      </w:pPr>
      <w:r>
        <w:rPr>
          <w:sz w:val="20"/>
          <w:szCs w:val="20"/>
        </w:rPr>
        <w:t xml:space="preserve">Chapitre Résultats, rédigé à partir du projet QualiCode « MÉMOIRE NGOMA — MUKAKI DUNIA Jacques ».</w:t>
      </w:r>
    </w:p>
    <w:p>
      <w:pPr>
        <w:spacing w:after="80"/>
        <w:rPr>
          <w:sz w:val="20"/>
          <w:szCs w:val="20"/>
        </w:rPr>
      </w:pPr>
      <w:r>
        <w:rPr>
          <w:sz w:val="20"/>
          <w:szCs w:val="20"/>
        </w:rPr>
        <w:t xml:space="preserve"/>
      </w:r>
    </w:p>
    <w:p>
      <w:pPr>
        <w:spacing w:after="80"/>
        <w:rPr>
          <w:sz w:val="20"/>
          <w:szCs w:val="20"/>
        </w:rPr>
      </w:pPr>
      <w:r>
        <w:rPr>
          <w:sz w:val="20"/>
          <w:szCs w:val="20"/>
        </w:rPr>
        <w:t xml:space="preserve">Le plan suit le mémo « Phase 6 » du projet. Chaque citation a été vérifiée automatiquement : elle figure mot pour mot dans un passage codé du participant, et aucun participant ayant refusé la citation n'est cité. Chaque effectif est calculé à partir du codage.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de collecte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en deux vagues</w:t>
            </w:r>
          </w:p>
        </w:tc>
      </w:tr>
    </w:tbl>
    <w:p>
      <w:r>
        <w:br w:type="page"/>
      </w:r>
    </w:p>
    <w:p>
      <w:pPr>
        <w:pStyle w:val="Heading1"/>
        <w:spacing w:after="160" w:before="280"/>
      </w:pPr>
      <w:r>
        <w:t xml:space="preserve">5. RÉSULTATS</w:t>
      </w:r>
    </w:p>
    <w:p>
      <w:pPr>
        <w:spacing w:after="140"/>
        <w:jc w:val="both"/>
      </w:pPr>
      <w:r>
        <w:rPr>
          <w:i w:val="false"/>
          <w:iCs w:val="false"/>
          <w:sz w:val="22"/>
          <w:szCs w:val="22"/>
        </w:rPr>
        <w:t xml:space="preserve">Ce chapitre présente les résultats de l'analyse thématique de 20 entretiens semi-structurés et de 15 observations de service, conduits dans 15 des seize centres de santé du district, le seizième ayant servi au pré-test. Il suit les deux objectifs spécifiques ; sept thèmes structurent l'ensemble.</w:t>
      </w:r>
    </w:p>
    <w:p>
      <w:pPr>
        <w:spacing w:after="140"/>
        <w:jc w:val="both"/>
      </w:pPr>
      <w:r>
        <w:rPr>
          <w:i w:val="false"/>
          <w:iCs w:val="false"/>
          <w:sz w:val="22"/>
          <w:szCs w:val="22"/>
        </w:rPr>
        <w:t xml:space="preserve">Conventions de lecture. Chaque extrait est suivi du code du participant et de sa seule qualification, afin qu'aucun croisement ne permette d'identifier une personne (§ 4.2.7). Un effectif désigne le nombre de participants dont au moins un passage a été codé dans la catégorie : il indique l'étendue d'un propos dans le corpus, non une fréquence dans la population. Les propos sur les femmes enceintes sont des représentations professionnelles. Les extraits sont des propos notés pendant l'entretien et mis au propre le jour même, non des transcriptions d'enregistrement ; ceux qui sont traduits du kinyarwanda sont signalés, et la version originale les accompagne (§ 4.2.6).</w:t>
      </w:r>
    </w:p>
    <w:p>
      <w:pPr>
        <w:pStyle w:val="Heading2"/>
        <w:spacing w:after="120" w:before="220"/>
      </w:pPr>
      <w:r>
        <w:t xml:space="preserve">5.1. Caractéristiques des participants et des centres</w:t>
      </w:r>
    </w:p>
    <w:p>
      <w:pPr>
        <w:spacing w:after="140"/>
        <w:jc w:val="both"/>
      </w:pPr>
      <w:r>
        <w:rPr>
          <w:i w:val="false"/>
          <w:iCs w:val="false"/>
          <w:sz w:val="22"/>
          <w:szCs w:val="22"/>
        </w:rPr>
        <w:t xml:space="preserve">Les 20 participants se répartissent en 10 infirmiers ou infirmières et 10 sages-femmes, dont 5 titulaires ; les entretiens ont duré de 38 à 61 minutes. Les tableaux IV et V ne sont pas croisés : associer une caractéristique individuelle à un centre identifierait la personne.</w:t>
      </w:r>
    </w:p>
    <w:p>
      <w:pPr>
        <w:keepNext/>
        <w:spacing w:after="80" w:before="200"/>
      </w:pPr>
      <w:r>
        <w:rPr>
          <w:b/>
          <w:bCs/>
          <w:sz w:val="20"/>
          <w:szCs w:val="20"/>
        </w:rPr>
        <w:t xml:space="preserve">Tableau IV. Caractéristiques des participants (n =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Caractéristique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Modalités (effectif)</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infirmier : 6 ; infirmière : 4 ; sage-femme : 10</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féminin : 14 ; masculin : 6</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 (ans)</w:t>
            </w:r>
          </w:p>
        </w:tc>
        <w:tc>
          <w:tcPr>
            <w:tcW w:type="dxa" w:w="6026"/>
            <w:tcMar>
              <w:top w:type="dxa" w:w="60"/>
              <w:left w:type="dxa" w:w="100"/>
              <w:bottom w:type="dxa" w:w="60"/>
              <w:right w:type="dxa" w:w="100"/>
            </w:tcMar>
          </w:tcPr>
          <w:p>
            <w:r>
              <w:rPr>
                <w:b w:val="false"/>
                <w:bCs w:val="false"/>
                <w:i w:val="false"/>
                <w:iCs w:val="false"/>
                <w:sz w:val="19"/>
                <w:szCs w:val="19"/>
              </w:rPr>
              <w:t xml:space="preserve">20-29 : 4 ; 30-39 : 8 ; 40-49 : 6 ; 50 et plus : 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totale</w:t>
            </w:r>
          </w:p>
        </w:tc>
        <w:tc>
          <w:tcPr>
            <w:tcW w:type="dxa" w:w="6026"/>
            <w:tcMar>
              <w:top w:type="dxa" w:w="60"/>
              <w:left w:type="dxa" w:w="100"/>
              <w:bottom w:type="dxa" w:w="60"/>
              <w:right w:type="dxa" w:w="100"/>
            </w:tcMar>
          </w:tcPr>
          <w:p>
            <w:r>
              <w:rPr>
                <w:b w:val="false"/>
                <w:bCs w:val="false"/>
                <w:i w:val="false"/>
                <w:iCs w:val="false"/>
                <w:sz w:val="19"/>
                <w:szCs w:val="19"/>
              </w:rPr>
              <w:t xml:space="preserve">&lt; 5 ans : 4 ; 5-10 ans : 8 ; &gt; 10 ans : 8</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CPN</w:t>
            </w:r>
          </w:p>
        </w:tc>
        <w:tc>
          <w:tcPr>
            <w:tcW w:type="dxa" w:w="6026"/>
            <w:tcMar>
              <w:top w:type="dxa" w:w="60"/>
              <w:left w:type="dxa" w:w="100"/>
              <w:bottom w:type="dxa" w:w="60"/>
              <w:right w:type="dxa" w:w="100"/>
            </w:tcMar>
          </w:tcPr>
          <w:p>
            <w:r>
              <w:rPr>
                <w:b w:val="false"/>
                <w:bCs w:val="false"/>
                <w:i w:val="false"/>
                <w:iCs w:val="false"/>
                <w:sz w:val="19"/>
                <w:szCs w:val="19"/>
              </w:rPr>
              <w:t xml:space="preserve">6 mois-2 ans : 6 ; &gt; 2 ans : 14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w:t>
            </w:r>
          </w:p>
        </w:tc>
        <w:tc>
          <w:tcPr>
            <w:tcW w:type="dxa" w:w="6026"/>
            <w:tcMar>
              <w:top w:type="dxa" w:w="60"/>
              <w:left w:type="dxa" w:w="100"/>
              <w:bottom w:type="dxa" w:w="60"/>
              <w:right w:type="dxa" w:w="100"/>
            </w:tcMar>
          </w:tcPr>
          <w:p>
            <w:r>
              <w:rPr>
                <w:b w:val="false"/>
                <w:bCs w:val="false"/>
                <w:i w:val="false"/>
                <w:iCs w:val="false"/>
                <w:sz w:val="19"/>
                <w:szCs w:val="19"/>
              </w:rPr>
              <w:t xml:space="preserve">titulaire : 5 ; prestataire : 15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MNT reçue</w:t>
            </w:r>
          </w:p>
        </w:tc>
        <w:tc>
          <w:tcPr>
            <w:tcW w:type="dxa" w:w="6026"/>
            <w:tcMar>
              <w:top w:type="dxa" w:w="60"/>
              <w:left w:type="dxa" w:w="100"/>
              <w:bottom w:type="dxa" w:w="60"/>
              <w:right w:type="dxa" w:w="100"/>
            </w:tcMar>
          </w:tcPr>
          <w:p>
            <w:r>
              <w:rPr>
                <w:b w:val="false"/>
                <w:bCs w:val="false"/>
                <w:i w:val="false"/>
                <w:iCs w:val="false"/>
                <w:sz w:val="19"/>
                <w:szCs w:val="19"/>
              </w:rPr>
              <w:t xml:space="preserve">oui : 10 ; non : 8 ; ne sait pas : 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kinyarwanda : 16 ; français : 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Vague de collecte</w:t>
            </w:r>
          </w:p>
        </w:tc>
        <w:tc>
          <w:tcPr>
            <w:tcW w:type="dxa" w:w="6026"/>
            <w:tcMar>
              <w:top w:type="dxa" w:w="60"/>
              <w:left w:type="dxa" w:w="100"/>
              <w:bottom w:type="dxa" w:w="60"/>
              <w:right w:type="dxa" w:w="100"/>
            </w:tcMar>
          </w:tcPr>
          <w:p>
            <w:r>
              <w:rPr>
                <w:b w:val="false"/>
                <w:bCs w:val="false"/>
                <w:i w:val="false"/>
                <w:iCs w:val="false"/>
                <w:sz w:val="19"/>
                <w:szCs w:val="19"/>
              </w:rPr>
              <w:t xml:space="preserve">vague 1 : 10 ; vague 2 : 10</w:t>
            </w:r>
          </w:p>
        </w:tc>
      </w:tr>
    </w:tbl>
    <w:p>
      <w:pPr>
        <w:spacing w:after="200" w:before="60"/>
      </w:pPr>
      <w:r>
        <w:rPr>
          <w:i/>
          <w:iCs/>
          <w:color w:val="555555"/>
          <w:sz w:val="18"/>
          <w:szCs w:val="18"/>
        </w:rPr>
        <w:t xml:space="preserve">Source : fiches sociodémographiques (annexe 3).</w:t>
      </w:r>
    </w:p>
    <w:p>
      <w:pPr>
        <w:keepNext/>
        <w:spacing w:after="80" w:before="200"/>
      </w:pPr>
      <w:r>
        <w:rPr>
          <w:b/>
          <w:bCs/>
          <w:sz w:val="20"/>
          <w:szCs w:val="20"/>
        </w:rPr>
        <w:t xml:space="preserve">Tableau V. Caractéristiques des centres de santé (n =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Caractéristique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Modalités (nombre de centres)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w:t>
            </w:r>
          </w:p>
        </w:tc>
        <w:tc>
          <w:tcPr>
            <w:tcW w:type="dxa" w:w="6026"/>
            <w:tcMar>
              <w:top w:type="dxa" w:w="60"/>
              <w:left w:type="dxa" w:w="100"/>
              <w:bottom w:type="dxa" w:w="60"/>
              <w:right w:type="dxa" w:w="100"/>
            </w:tcMar>
          </w:tcPr>
          <w:p>
            <w:r>
              <w:rPr>
                <w:b w:val="false"/>
                <w:bCs w:val="false"/>
                <w:i w:val="false"/>
                <w:iCs w:val="false"/>
                <w:sz w:val="19"/>
                <w:szCs w:val="19"/>
              </w:rPr>
              <w:t xml:space="preserve">urbain : 4 ; rural périphérique : 11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Distance à l'hôpital</w:t>
            </w:r>
          </w:p>
        </w:tc>
        <w:tc>
          <w:tcPr>
            <w:tcW w:type="dxa" w:w="6026"/>
            <w:tcMar>
              <w:top w:type="dxa" w:w="60"/>
              <w:left w:type="dxa" w:w="100"/>
              <w:bottom w:type="dxa" w:w="60"/>
              <w:right w:type="dxa" w:w="100"/>
            </w:tcMar>
          </w:tcPr>
          <w:p>
            <w:r>
              <w:rPr>
                <w:b w:val="false"/>
                <w:bCs w:val="false"/>
                <w:i w:val="false"/>
                <w:iCs w:val="false"/>
                <w:sz w:val="19"/>
                <w:szCs w:val="19"/>
              </w:rPr>
              <w:t xml:space="preserve">proche : 4 ; éloignée : 11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Volume d'activité prénatale</w:t>
            </w:r>
          </w:p>
        </w:tc>
        <w:tc>
          <w:tcPr>
            <w:tcW w:type="dxa" w:w="6026"/>
            <w:tcMar>
              <w:top w:type="dxa" w:w="60"/>
              <w:left w:type="dxa" w:w="100"/>
              <w:bottom w:type="dxa" w:w="60"/>
              <w:right w:type="dxa" w:w="100"/>
            </w:tcMar>
          </w:tcPr>
          <w:p>
            <w:r>
              <w:rPr>
                <w:b w:val="false"/>
                <w:bCs w:val="false"/>
                <w:i w:val="false"/>
                <w:iCs w:val="false"/>
                <w:sz w:val="19"/>
                <w:szCs w:val="19"/>
              </w:rPr>
              <w:t xml:space="preserve">élevé : 5 ; modéré : 10</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Profil de pauvreté du secteur</w:t>
            </w:r>
          </w:p>
        </w:tc>
        <w:tc>
          <w:tcPr>
            <w:tcW w:type="dxa" w:w="6026"/>
            <w:tcMar>
              <w:top w:type="dxa" w:w="60"/>
              <w:left w:type="dxa" w:w="100"/>
              <w:bottom w:type="dxa" w:w="60"/>
              <w:right w:type="dxa" w:w="100"/>
            </w:tcMar>
          </w:tcPr>
          <w:p>
            <w:r>
              <w:rPr>
                <w:b w:val="false"/>
                <w:bCs w:val="false"/>
                <w:i w:val="false"/>
                <w:iCs w:val="false"/>
                <w:sz w:val="19"/>
                <w:szCs w:val="19"/>
              </w:rPr>
              <w:t xml:space="preserve">plus faible : 4 ; plus élevée : 11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Glucomètre en salle de CPN</w:t>
            </w:r>
          </w:p>
        </w:tc>
        <w:tc>
          <w:tcPr>
            <w:tcW w:type="dxa" w:w="6026"/>
            <w:tcMar>
              <w:top w:type="dxa" w:w="60"/>
              <w:left w:type="dxa" w:w="100"/>
              <w:bottom w:type="dxa" w:w="60"/>
              <w:right w:type="dxa" w:w="100"/>
            </w:tcMar>
          </w:tcPr>
          <w:p>
            <w:r>
              <w:rPr>
                <w:b w:val="false"/>
                <w:bCs w:val="false"/>
                <w:i w:val="false"/>
                <w:iCs w:val="false"/>
                <w:sz w:val="19"/>
                <w:szCs w:val="19"/>
              </w:rPr>
              <w:t xml:space="preserve">présent : 0 ; absent : 15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Glycémie de la première CPN</w:t>
            </w:r>
          </w:p>
        </w:tc>
        <w:tc>
          <w:tcPr>
            <w:tcW w:type="dxa" w:w="6026"/>
            <w:tcMar>
              <w:top w:type="dxa" w:w="60"/>
              <w:left w:type="dxa" w:w="100"/>
              <w:bottom w:type="dxa" w:w="60"/>
              <w:right w:type="dxa" w:w="100"/>
            </w:tcMar>
          </w:tcPr>
          <w:p>
            <w:r>
              <w:rPr>
                <w:b w:val="false"/>
                <w:bCs w:val="false"/>
                <w:i w:val="false"/>
                <w:iCs w:val="false"/>
                <w:sz w:val="19"/>
                <w:szCs w:val="19"/>
              </w:rPr>
              <w:t xml:space="preserve">réalisée au laboratoire, sur bon de la CPN : 5 ; glucomètre réservé aux malades chroniques : 3 ; impossible (panne, bandelettes absentes ou périmées) : 6 ; pas de glucomètre : 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Glycémie refaite systématiquement à 24-28 semaines</w:t>
            </w:r>
          </w:p>
        </w:tc>
        <w:tc>
          <w:tcPr>
            <w:tcW w:type="dxa" w:w="6026"/>
            <w:tcMar>
              <w:top w:type="dxa" w:w="60"/>
              <w:left w:type="dxa" w:w="100"/>
              <w:bottom w:type="dxa" w:w="60"/>
              <w:right w:type="dxa" w:w="100"/>
            </w:tcMar>
          </w:tcPr>
          <w:p>
            <w:r>
              <w:rPr>
                <w:b w:val="false"/>
                <w:bCs w:val="false"/>
                <w:i w:val="false"/>
                <w:iCs w:val="false"/>
                <w:sz w:val="19"/>
                <w:szCs w:val="19"/>
              </w:rPr>
              <w:t xml:space="preserve">oui : 0 ; non (sur facteurs de risque au mieux) : 15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Femmes reçues pendant la demi-journée</w:t>
            </w:r>
          </w:p>
        </w:tc>
        <w:tc>
          <w:tcPr>
            <w:tcW w:type="dxa" w:w="6026"/>
            <w:tcMar>
              <w:top w:type="dxa" w:w="60"/>
              <w:left w:type="dxa" w:w="100"/>
              <w:bottom w:type="dxa" w:w="60"/>
              <w:right w:type="dxa" w:w="100"/>
            </w:tcMar>
          </w:tcPr>
          <w:p>
            <w:r>
              <w:rPr>
                <w:b w:val="false"/>
                <w:bCs w:val="false"/>
                <w:i w:val="false"/>
                <w:iCs w:val="false"/>
                <w:sz w:val="19"/>
                <w:szCs w:val="19"/>
              </w:rPr>
              <w:t xml:space="preserve">14 à 51</w:t>
            </w:r>
          </w:p>
        </w:tc>
      </w:tr>
    </w:tbl>
    <w:p>
      <w:pPr>
        <w:spacing w:after="200" w:before="60"/>
      </w:pPr>
      <w:r>
        <w:rPr>
          <w:i/>
          <w:iCs/>
          <w:color w:val="555555"/>
          <w:sz w:val="18"/>
          <w:szCs w:val="18"/>
        </w:rPr>
        <w:t xml:space="preserve">Source : grilles d'observation (annexe 2) et données de routine du district.</w:t>
      </w:r>
    </w:p>
    <w:p>
      <w:pPr>
        <w:spacing w:after="140"/>
        <w:jc w:val="both"/>
      </w:pPr>
      <w:r>
        <w:rPr>
          <w:i w:val="false"/>
          <w:iCs w:val="false"/>
          <w:sz w:val="22"/>
          <w:szCs w:val="22"/>
        </w:rPr>
        <w:t xml:space="preserve">Le tensiomètre était présent en salle de CPN dans les 15 centres. Un glucomètre existait dans 14 centres, mais jamais en salle de CPN : il était au laboratoire ou à la consultation des maladies chroniques. La glycémie de la première CPN, prévue pour toutes les femmes, n'était effectivement réalisée, sur bon de la CPN, que dans 5 centres ; ailleurs, le glucomètre était réservé aux malades chroniques (3), inutilisable (6) ou absent (1). Aucun centre (0) ne refaisait la glycémie de façon systématique entre 24 et 28 semaines.</w:t>
      </w:r>
    </w:p>
    <w:p>
      <w:pPr>
        <w:pStyle w:val="Heading2"/>
        <w:spacing w:after="120" w:before="220"/>
      </w:pPr>
      <w:r>
        <w:t xml:space="preserve">5.2. Sens attribué au dépistage et pratiques déclarées (objectif spécifique 1)</w:t>
      </w:r>
    </w:p>
    <w:p>
      <w:pPr>
        <w:pStyle w:val="Heading3"/>
        <w:spacing w:after="100" w:before="180"/>
      </w:pPr>
      <w:r>
        <w:t xml:space="preserve">5.2.1. Un dépistage légitime, mais inégalement investi</w:t>
      </w:r>
    </w:p>
    <w:p>
      <w:pPr>
        <w:spacing w:after="140"/>
        <w:jc w:val="both"/>
      </w:pPr>
      <w:r>
        <w:rPr>
          <w:i w:val="false"/>
          <w:iCs w:val="false"/>
          <w:sz w:val="22"/>
          <w:szCs w:val="22"/>
        </w:rPr>
        <w:t xml:space="preserve">Tous les participants (20) reconnaissent ce dépistage comme relevant du mandat de la CPN, souvent le seul moment de la vie adulte où une femme en bonne santé rencontre régulièrement un soignant. Cette légitimité se dissocie pourtant de la pratique : la tension est un geste intégré, « comme le poids » ; la glycémie, là où elle n'est pas possible, sort du champ de pensée, ce que 4 participants décrivent comme un effet de l'impuissance.</w:t>
      </w:r>
    </w:p>
    <w:p>
      <w:pPr>
        <w:spacing w:after="40" w:before="60"/>
        <w:ind w:left="567" w:right="567"/>
        <w:jc w:val="both"/>
      </w:pPr>
      <w:r>
        <w:rPr>
          <w:i/>
          <w:iCs/>
          <w:sz w:val="21"/>
          <w:szCs w:val="21"/>
        </w:rPr>
        <w:t xml:space="preserve">« La tension, je peux seulement la trouver et l'envoyer ailleurs. Le sucre, je ne peux même pas le trouver. Plus on est impuissant, moins on y pense — et ça, c'est grave. »</w:t>
      </w:r>
    </w:p>
    <w:p>
      <w:pPr>
        <w:spacing w:after="160"/>
        <w:ind w:left="567" w:right="567"/>
        <w:jc w:val="right"/>
      </w:pPr>
      <w:r>
        <w:rPr>
          <w:color w:val="444444"/>
          <w:sz w:val="19"/>
          <w:szCs w:val="19"/>
        </w:rPr>
        <w:t xml:space="preserve">(P06, sage-femme — traduit du kinyarwanda)</w:t>
      </w:r>
    </w:p>
    <w:p>
      <w:pPr>
        <w:pStyle w:val="Heading3"/>
        <w:spacing w:after="100" w:before="180"/>
      </w:pPr>
      <w:r>
        <w:t xml:space="preserve">5.2.2. Thème 1 — Un dépistage coupé en deux</w:t>
      </w:r>
    </w:p>
    <w:p>
      <w:pPr>
        <w:spacing w:after="140"/>
        <w:jc w:val="both"/>
      </w:pPr>
      <w:r>
        <w:rPr>
          <w:i w:val="false"/>
          <w:iCs w:val="false"/>
          <w:sz w:val="22"/>
          <w:szCs w:val="22"/>
        </w:rPr>
        <w:t xml:space="preserve">Définition. La tension est mesurée à chaque visite ; la glycémie, prévue pour toutes à la première CPN, se fait ailleurs, au laboratoire ou à la consultation des maladies chroniques, avec des bandelettes que la CPN ne gère pas, et elle n'est plus refaite ensuite que sur des signes d'appel. Là où le circuit est fermé à la femme enceinte, même le test de la première CPN disparaît.</w:t>
      </w:r>
    </w:p>
    <w:p>
      <w:pPr>
        <w:spacing w:after="140"/>
        <w:jc w:val="both"/>
      </w:pPr>
      <w:r>
        <w:rPr>
          <w:i w:val="false"/>
          <w:iCs w:val="false"/>
          <w:sz w:val="22"/>
          <w:szCs w:val="22"/>
        </w:rPr>
        <w:t xml:space="preserve">Même la tension connaît des omissions faute d'appareil disponible (9 participants), et le savoir glycémique s'érode quand il n'est pas pratiqué (4). Pour la glycémie, aucun ne décrit un geste réalisé en salle de CPN ; 12 décrivent le circuit du bon, du laboratoire et des bandelettes réservées d'abord aux malades chroniques.</w:t>
      </w:r>
    </w:p>
    <w:p>
      <w:pPr>
        <w:spacing w:after="40" w:before="60"/>
        <w:ind w:left="567" w:right="567"/>
        <w:jc w:val="both"/>
      </w:pPr>
      <w:r>
        <w:rPr>
          <w:i/>
          <w:iCs/>
          <w:sz w:val="21"/>
          <w:szCs w:val="21"/>
        </w:rPr>
        <w:t xml:space="preserve">« Le sucre, normalement c'est pour toutes à la première visite, c'est sur la fiche. Mais l'appareil est au laboratoire, pour les malades chroniques, et les bandelettes vont d'abord à eux. Pour les femmes enceintes, ici, la case du sucre reste presque toujours vide. »</w:t>
      </w:r>
    </w:p>
    <w:p>
      <w:pPr>
        <w:spacing w:after="160"/>
        <w:ind w:left="567" w:right="567"/>
        <w:jc w:val="right"/>
      </w:pPr>
      <w:r>
        <w:rPr>
          <w:color w:val="444444"/>
          <w:sz w:val="19"/>
          <w:szCs w:val="19"/>
        </w:rPr>
        <w:t xml:space="preserve">(P20, infirmier — traduit du kinyarwanda)</w:t>
      </w:r>
    </w:p>
    <w:p>
      <w:pPr>
        <w:spacing w:after="140"/>
        <w:jc w:val="both"/>
      </w:pPr>
      <w:r>
        <w:rPr>
          <w:i w:val="false"/>
          <w:iCs w:val="false"/>
          <w:sz w:val="22"/>
          <w:szCs w:val="22"/>
        </w:rPr>
        <w:t xml:space="preserve">Là où le circuit est ouvert, le test de la première CPN est fait à toutes, mais il reste unique : 6 participants décrivent une glycémie qui n'est refaite qu'en présence d'un signe d'appel ou d'un facteur de risque — surpoids, antécédent de gros bébé, diabète dans la famille, sucre dans les urines, âge —, et aucune épreuve de charge entre 24 et 28 semaines, la période où le diabète gestationnel apparaît. Une femme normale au premier trimestre n'est donc plus suivie sur ce point. Hors de la CPN, les campagnes de dépistage des maladies non transmissibles mesurent la tension et la glycémie de toute personne qui se présente, femmes enceintes comprises, sans que le résultat revienne à la CPN (2 participants) : le dépistage est coupé en deux à l'intérieur du centre, et en trois au-delà.</w:t>
      </w:r>
    </w:p>
    <w:p>
      <w:pPr>
        <w:spacing w:after="40" w:before="60"/>
        <w:ind w:left="567" w:right="567"/>
        <w:jc w:val="both"/>
      </w:pPr>
      <w:r>
        <w:rPr>
          <w:i/>
          <w:iCs/>
          <w:sz w:val="21"/>
          <w:szCs w:val="21"/>
        </w:rPr>
        <w:t xml:space="preserve">« À la première visite, toutes font le sucre avec le bilan. Après, plus rien, sauf si quelque chose m'inquiète. Une femme normale à trois mois, je ne sais plus rien d'elle à sept mois. »</w:t>
      </w:r>
    </w:p>
    <w:p>
      <w:pPr>
        <w:spacing w:after="160"/>
        <w:ind w:left="567" w:right="567"/>
        <w:jc w:val="right"/>
      </w:pPr>
      <w:r>
        <w:rPr>
          <w:color w:val="444444"/>
          <w:sz w:val="19"/>
          <w:szCs w:val="19"/>
        </w:rPr>
        <w:t xml:space="preserve">(P01, infirmier — traduit du kinyarwanda)</w:t>
      </w:r>
    </w:p>
    <w:p>
      <w:pPr>
        <w:pStyle w:val="Heading3"/>
        <w:spacing w:after="100" w:before="180"/>
      </w:pPr>
      <w:r>
        <w:t xml:space="preserve">5.2.3. Thème 2 — Expliquer moins à celles qui savent le moins</w:t>
      </w:r>
    </w:p>
    <w:p>
      <w:pPr>
        <w:spacing w:after="140"/>
        <w:jc w:val="both"/>
      </w:pPr>
      <w:r>
        <w:rPr>
          <w:i w:val="false"/>
          <w:iCs w:val="false"/>
          <w:sz w:val="22"/>
          <w:szCs w:val="22"/>
        </w:rPr>
        <w:t xml:space="preserve">Définition. L'explication qui suit la mesure varie selon l'heure, la charge de travail et l'idée que le soignant se fait de la femme, à l'inverse des besoins. Ce sont les participants eux-mêmes qui le décrivent ; le thème ne désigne pas une faute individuelle.</w:t>
      </w:r>
    </w:p>
    <w:p>
      <w:pPr>
        <w:spacing w:after="140"/>
        <w:jc w:val="both"/>
      </w:pPr>
      <w:r>
        <w:rPr>
          <w:i w:val="false"/>
          <w:iCs w:val="false"/>
          <w:sz w:val="22"/>
          <w:szCs w:val="22"/>
        </w:rPr>
        <w:t xml:space="preserve">Dix-sept participants décrivent cette modulation, selon l'instruction supposée, l'heure d'arrivée et l'assurance de la femme ; plusieurs formulent eux-mêmes le paradoxe, parfois en le découvrant au cours de l'entretien.</w:t>
      </w:r>
    </w:p>
    <w:p>
      <w:pPr>
        <w:spacing w:after="40" w:before="60"/>
        <w:ind w:left="567" w:right="567"/>
        <w:jc w:val="both"/>
      </w:pPr>
      <w:r>
        <w:rPr>
          <w:i/>
          <w:iCs/>
          <w:sz w:val="21"/>
          <w:szCs w:val="21"/>
        </w:rPr>
        <w:t xml:space="preserve">« Si vous venez à sept heures trente, vous aurez une infirmière qui vous explique. Si vous venez à onze heures, vous aurez la même infirmière mais elle vous dira trois mots. C'est le même service et ce n'est pas le même service. »</w:t>
      </w:r>
    </w:p>
    <w:p>
      <w:pPr>
        <w:spacing w:after="160"/>
        <w:ind w:left="567" w:right="567"/>
        <w:jc w:val="right"/>
      </w:pPr>
      <w:r>
        <w:rPr>
          <w:color w:val="444444"/>
          <w:sz w:val="19"/>
          <w:szCs w:val="19"/>
        </w:rPr>
        <w:t xml:space="preserve">(P04, infirmière — traduit du kinyarwanda)</w:t>
      </w:r>
    </w:p>
    <w:p>
      <w:pPr>
        <w:spacing w:after="140"/>
        <w:jc w:val="both"/>
      </w:pPr>
      <w:r>
        <w:rPr>
          <w:i w:val="false"/>
          <w:iCs w:val="false"/>
          <w:sz w:val="22"/>
          <w:szCs w:val="22"/>
        </w:rPr>
        <w:t xml:space="preserve">Cinq participants affirment au contraire donner la même explication à toutes. Le risque au-delà de la grossesse n'est évoqué que par 7 participants, certains le taisant faute de service vers lequel orienter la femme. Des contre-pratiques existent : faire reformuler la femme (4), utiliser un support visuel commun (2), refuser de classer les femmes par avance. Enfin, 2 infirmiers ou infirmières laissent l'explication à une collègue sage-femme.</w:t>
      </w:r>
    </w:p>
    <w:p>
      <w:pPr>
        <w:spacing w:after="40" w:before="60"/>
        <w:ind w:left="567" w:right="567"/>
        <w:jc w:val="both"/>
      </w:pPr>
      <w:r>
        <w:rPr>
          <w:i/>
          <w:iCs/>
          <w:sz w:val="21"/>
          <w:szCs w:val="21"/>
        </w:rPr>
        <w:t xml:space="preserve">« Avec l'affiche, j'explique pareil à toutes, c'est ça l'avantage : l'image est la même pour celle qui sait lire et pour celle qui ne sait pas. »</w:t>
      </w:r>
    </w:p>
    <w:p>
      <w:pPr>
        <w:spacing w:after="160"/>
        <w:ind w:left="567" w:right="567"/>
        <w:jc w:val="right"/>
      </w:pPr>
      <w:r>
        <w:rPr>
          <w:color w:val="444444"/>
          <w:sz w:val="19"/>
          <w:szCs w:val="19"/>
        </w:rPr>
        <w:t xml:space="preserve">(P15, sage-femme — traduit du kinyarwanda)</w:t>
      </w:r>
    </w:p>
    <w:p>
      <w:pPr>
        <w:spacing w:after="140"/>
        <w:jc w:val="both"/>
      </w:pPr>
      <w:r>
        <w:rPr>
          <w:i w:val="false"/>
          <w:iCs w:val="false"/>
          <w:sz w:val="22"/>
          <w:szCs w:val="22"/>
        </w:rPr>
        <w:t xml:space="preserve">Un moment échappe à cette modulation : la séance d'éducation collective, tenue deux à trois matins par semaine avant les consultations, observée le jour de la visite dans 11 centres sur 15. Neuf participants la décrivent : la même information générale pour toutes les présentes, sur la nutrition, les signes de danger, le planning familial ou la mutuelle ; la tension n'y apparaît qu'à travers les signes de danger (thème observé dans 5 centres) et le sucre presque jamais. Elle commence avant l'arrivée des femmes des collines éloignées. Quatre participants discutent de son usage : pour les uns, elle « prépare le terrain » sans remplacer la restitution du résultat ; pour d'autres, les jours d'affluence, elle en tient lieu.</w:t>
      </w:r>
    </w:p>
    <w:p>
      <w:pPr>
        <w:spacing w:after="40" w:before="60"/>
        <w:ind w:left="567" w:right="567"/>
        <w:jc w:val="both"/>
      </w:pPr>
      <w:r>
        <w:rPr>
          <w:i/>
          <w:iCs/>
          <w:sz w:val="21"/>
          <w:szCs w:val="21"/>
        </w:rPr>
        <w:t xml:space="preserve">« Les femmes des collines du fond arrivent à dix heures, parfois onze heures, après deux heures de marche. Elles ont raté la séance. Et ce sont justement celles qui en auraient le plus besoin. »</w:t>
      </w:r>
    </w:p>
    <w:p>
      <w:pPr>
        <w:spacing w:after="160"/>
        <w:ind w:left="567" w:right="567"/>
        <w:jc w:val="right"/>
      </w:pPr>
      <w:r>
        <w:rPr>
          <w:color w:val="444444"/>
          <w:sz w:val="19"/>
          <w:szCs w:val="19"/>
        </w:rPr>
        <w:t xml:space="preserve">(P03, sage-femme — traduit du kinyarwanda)</w:t>
      </w:r>
    </w:p>
    <w:p>
      <w:pPr>
        <w:pStyle w:val="Heading2"/>
        <w:spacing w:after="120" w:before="220"/>
      </w:pPr>
      <w:r>
        <w:t xml:space="preserve">5.3. Conditions perçues du dépistage (objectif spécifique 2)</w:t>
      </w:r>
    </w:p>
    <w:p>
      <w:pPr>
        <w:pStyle w:val="Heading3"/>
        <w:spacing w:after="100" w:before="180"/>
      </w:pPr>
      <w:r>
        <w:t xml:space="preserve">5.3.1. Conditions individuelles et organisationnelles</w:t>
      </w:r>
    </w:p>
    <w:p>
      <w:pPr>
        <w:spacing w:after="140"/>
        <w:jc w:val="both"/>
      </w:pPr>
      <w:r>
        <w:rPr>
          <w:i w:val="false"/>
          <w:iCs w:val="false"/>
          <w:sz w:val="22"/>
          <w:szCs w:val="22"/>
        </w:rPr>
        <w:t xml:space="preserve">Vingt participants sur 20 décrivent une préparation initiale absente ou insuffisante au dépistage du diabète gestationnel ; la formation continue, décisive quand elle a eu lieu, reste ponctuelle et nominative, et le savoir part avec la personne formée. La charge de travail (20 participants), la concurrence entre programmes (4) et l'absence de maintenance des appareils (5) limitent le dépistage ; un poste de constantes tenu par une personne dédiée est le facilitateur le plus cité.</w:t>
      </w:r>
    </w:p>
    <w:p>
      <w:pPr>
        <w:pStyle w:val="Heading3"/>
        <w:spacing w:after="100" w:before="180"/>
      </w:pPr>
      <w:r>
        <w:t xml:space="preserve">5.3.2. Thème 4 — Ce qui est compté existe</w:t>
      </w:r>
    </w:p>
    <w:p>
      <w:pPr>
        <w:spacing w:after="140"/>
        <w:jc w:val="both"/>
      </w:pPr>
      <w:r>
        <w:rPr>
          <w:i w:val="false"/>
          <w:iCs w:val="false"/>
          <w:sz w:val="22"/>
          <w:szCs w:val="22"/>
        </w:rPr>
        <w:t xml:space="preserve">Définition. Intrants, maintenance et attention de l'encadrement suivent les indicateurs ; le dépistage n'en fait pas partie. La supervision décrite porte sur la fréquentation et la complétude des registres ; aucun participant n'a eu à déclarer une tension élevée dépistée ou une glycémie réalisée, et plusieurs relient cette absence à la rupture des intrants.</w:t>
      </w:r>
    </w:p>
    <w:p>
      <w:pPr>
        <w:spacing w:after="40" w:before="60"/>
        <w:ind w:left="567" w:right="567"/>
        <w:jc w:val="both"/>
      </w:pPr>
      <w:r>
        <w:rPr>
          <w:i/>
          <w:iCs/>
          <w:sz w:val="21"/>
          <w:szCs w:val="21"/>
        </w:rPr>
        <w:t xml:space="preserve">« Le fer, on l'a toujours. La moustiquaire, on l'a toujours. Parce qu'ils sont dans les indicateurs. Les bandelettes de glycémie ne sont dans aucun indicateur, donc elles arrivent en dernier ou pas du tout. »</w:t>
      </w:r>
    </w:p>
    <w:p>
      <w:pPr>
        <w:spacing w:after="160"/>
        <w:ind w:left="567" w:right="567"/>
        <w:jc w:val="right"/>
      </w:pPr>
      <w:r>
        <w:rPr>
          <w:color w:val="444444"/>
          <w:sz w:val="19"/>
          <w:szCs w:val="19"/>
        </w:rPr>
        <w:t xml:space="preserve">(P07, sage-femme)</w:t>
      </w:r>
    </w:p>
    <w:p>
      <w:pPr>
        <w:pStyle w:val="Heading3"/>
        <w:spacing w:after="100" w:before="180"/>
      </w:pPr>
      <w:r>
        <w:t xml:space="preserve">5.3.3. Thème 5 — Ce que change la dotation, et ce qu'elle ne change pas</w:t>
      </w:r>
    </w:p>
    <w:p>
      <w:pPr>
        <w:spacing w:after="140"/>
        <w:jc w:val="both"/>
      </w:pPr>
      <w:r>
        <w:rPr>
          <w:i w:val="false"/>
          <w:iCs w:val="false"/>
          <w:sz w:val="22"/>
          <w:szCs w:val="22"/>
        </w:rPr>
        <w:t xml:space="preserve">Définition. L'équipement rend possible le test de la première CPN, mais ne règle ni le contrôle au troisième trimestre ni l'explication, et il est réparti au bénéfice des centres déjà les mieux placés. Même dans le centre le mieux pourvu, la glycémie n'est refaite qu'aux femmes à risque, faute d'une épreuve de charge praticable entre 24 et 28 semaines, et l'explication reste soumise au temps disponible. Six participants estiment que le lieu d'exercice décide de ce que reçoivent les femmes.</w:t>
      </w:r>
    </w:p>
    <w:p>
      <w:pPr>
        <w:spacing w:after="40" w:before="60"/>
        <w:ind w:left="567" w:right="567"/>
        <w:jc w:val="both"/>
      </w:pPr>
      <w:r>
        <w:rPr>
          <w:i/>
          <w:iCs/>
          <w:sz w:val="21"/>
          <w:szCs w:val="21"/>
        </w:rPr>
        <w:t xml:space="preserve">« Le protocole parle d'une épreuve à ce moment-là, mais ici personne ne la fait : il faudrait que la femme vienne à jeun et reste deux heures. »</w:t>
      </w:r>
    </w:p>
    <w:p>
      <w:pPr>
        <w:spacing w:after="160"/>
        <w:ind w:left="567" w:right="567"/>
        <w:jc w:val="right"/>
      </w:pPr>
      <w:r>
        <w:rPr>
          <w:color w:val="444444"/>
          <w:sz w:val="19"/>
          <w:szCs w:val="19"/>
        </w:rPr>
        <w:t xml:space="preserve">(P11, sage-femme)</w:t>
      </w:r>
    </w:p>
    <w:p>
      <w:pPr>
        <w:pStyle w:val="Heading3"/>
        <w:spacing w:after="100" w:before="180"/>
      </w:pPr>
      <w:r>
        <w:t xml:space="preserve">5.3.4. Thème 3 — Trouver sans pouvoir suivre</w:t>
      </w:r>
    </w:p>
    <w:p>
      <w:pPr>
        <w:spacing w:after="140"/>
        <w:jc w:val="both"/>
      </w:pPr>
      <w:r>
        <w:rPr>
          <w:i w:val="false"/>
          <w:iCs w:val="false"/>
          <w:sz w:val="22"/>
          <w:szCs w:val="22"/>
        </w:rPr>
        <w:t xml:space="preserve">Définition. La détection ne devient une prise en charge que si la référence aboutit et si l'information revient. Devant une tension élevée, la conduite décrite est la même partout : reprise après repos, recherche de protéines, référence. La suite diverge : dans les centres éloignés, la référence dépend d'un véhicule, de l'argent de la famille et de la personne qui décide (9 participants) ; 15 participants rapportent l'absence de tout retour écrit de l'hôpital ; 4 décrivent des femmes dépistées qui, après l'accouchement, ne relèvent plus d'aucun service. Deux dispositifs nationaux pèsent sur ce parcours. La venue du conjoint à la première CPN, liée au test VIH du couple, est comprise comme une condition d'accueil : des femmes attendent qu'il soit disponible et arrivent à quatre ou cinq mois, ce qui retarde aussi la glycémie (2 participantes). Les aides ciblées de l'ubudehe — mutuelle prise en charge, farine Shisha Kibondo — fidélisent les femmes des ménages les plus pauvres ; la difficulté se déplace vers celles qui sont juste au-dessus du seuil (2 participants).</w:t>
      </w:r>
    </w:p>
    <w:p>
      <w:pPr>
        <w:spacing w:after="40" w:before="60"/>
        <w:ind w:left="567" w:right="567"/>
        <w:jc w:val="both"/>
      </w:pPr>
      <w:r>
        <w:rPr>
          <w:i/>
          <w:iCs/>
          <w:sz w:val="21"/>
          <w:szCs w:val="21"/>
        </w:rPr>
        <w:t xml:space="preserve">« Les plus difficiles, ce sont celles juste au-dessus : pas assez pauvres pour être aidées, pas assez riches pour payer la mutuelle à temps. Celles-là, on les perd. »</w:t>
      </w:r>
    </w:p>
    <w:p>
      <w:pPr>
        <w:spacing w:after="160"/>
        <w:ind w:left="567" w:right="567"/>
        <w:jc w:val="right"/>
      </w:pPr>
      <w:r>
        <w:rPr>
          <w:color w:val="444444"/>
          <w:sz w:val="19"/>
          <w:szCs w:val="19"/>
        </w:rPr>
        <w:t xml:space="preserve">(P06, sage-femme — traduit du kinyarwanda)</w:t>
      </w:r>
    </w:p>
    <w:p>
      <w:pPr>
        <w:spacing w:after="40" w:before="60"/>
        <w:ind w:left="567" w:right="567"/>
        <w:jc w:val="both"/>
      </w:pPr>
      <w:r>
        <w:rPr>
          <w:i/>
          <w:iCs/>
          <w:sz w:val="21"/>
          <w:szCs w:val="21"/>
        </w:rPr>
        <w:t xml:space="preserve">« Aujourd'hui je réfère dans le vide. Et tant que je réfère dans le vide, mon dépistage s'arrête à la détection : ce n'est pas un dépistage, c'est un signalement. »</w:t>
      </w:r>
    </w:p>
    <w:p>
      <w:pPr>
        <w:spacing w:after="160"/>
        <w:ind w:left="567" w:right="567"/>
        <w:jc w:val="right"/>
      </w:pPr>
      <w:r>
        <w:rPr>
          <w:color w:val="444444"/>
          <w:sz w:val="19"/>
          <w:szCs w:val="19"/>
        </w:rPr>
        <w:t xml:space="preserve">(P07, sage-femme)</w:t>
      </w:r>
    </w:p>
    <w:p>
      <w:pPr>
        <w:pStyle w:val="Heading3"/>
        <w:spacing w:after="100" w:before="180"/>
      </w:pPr>
      <w:r>
        <w:t xml:space="preserve">5.3.5. Conditions sociales perçues</w:t>
      </w:r>
    </w:p>
    <w:p>
      <w:pPr>
        <w:spacing w:after="140"/>
        <w:jc w:val="both"/>
      </w:pPr>
      <w:r>
        <w:rPr>
          <w:i w:val="false"/>
          <w:iCs w:val="false"/>
          <w:sz w:val="22"/>
          <w:szCs w:val="22"/>
        </w:rPr>
        <w:t xml:space="preserve">Les conditions sociales des femmes, telles que les perçoivent les participants, sont dominées par la distance (18), le coût et la mutuelle (18) et l'instruction (18). Le recours tardif et le non-retour (20) sont attribués aux femmes par 2 participants, tandis que 9 désignent aussi le service : attente prolongée, visite sans résultat, rupture de matériel. Le recours aux guérisseurs (2) est décrit sans mépris, comme une ressource de proximité.</w:t>
      </w:r>
    </w:p>
    <w:p>
      <w:pPr>
        <w:spacing w:after="40" w:before="60"/>
        <w:ind w:left="567" w:right="567"/>
        <w:jc w:val="both"/>
      </w:pPr>
      <w:r>
        <w:rPr>
          <w:i/>
          <w:iCs/>
          <w:sz w:val="21"/>
          <w:szCs w:val="21"/>
        </w:rPr>
        <w:t xml:space="preserve">« Les différences qui comptent pour le dépistage, ce sont des situations, pas des catégories de femmes : avoir de l'argent pour le transport aujourd'hui, avoir quelqu'un pour garder les enfants, avoir le mari d'accord. »</w:t>
      </w:r>
    </w:p>
    <w:p>
      <w:pPr>
        <w:spacing w:after="160"/>
        <w:ind w:left="567" w:right="567"/>
        <w:jc w:val="right"/>
      </w:pPr>
      <w:r>
        <w:rPr>
          <w:color w:val="444444"/>
          <w:sz w:val="19"/>
          <w:szCs w:val="19"/>
        </w:rPr>
        <w:t xml:space="preserve">(P18, infirmière — traduit du kinyarwanda)</w:t>
      </w:r>
    </w:p>
    <w:p>
      <w:pPr>
        <w:pStyle w:val="Heading3"/>
        <w:spacing w:after="100" w:before="180"/>
      </w:pPr>
      <w:r>
        <w:t xml:space="preserve">5.3.6. Thème 6 — Le registre comme écran</w:t>
      </w:r>
    </w:p>
    <w:p>
      <w:pPr>
        <w:spacing w:after="140"/>
        <w:jc w:val="both"/>
      </w:pPr>
      <w:r>
        <w:rPr>
          <w:i w:val="false"/>
          <w:iCs w:val="false"/>
          <w:sz w:val="22"/>
          <w:szCs w:val="22"/>
        </w:rPr>
        <w:t xml:space="preserve">Définition. Un contrôle portant sur la complétude des registres produit de la complétude, et peut rendre invisible l'inégalité qu'il devrait révéler. Ce thème décrit un effet de système, jamais une faute individuelle, et n'est associé à aucun centre ; il repose surtout sur un entretien, corroboré par l'observation d'un registre (section 5.5).</w:t>
      </w:r>
    </w:p>
    <w:p>
      <w:pPr>
        <w:spacing w:after="40" w:before="60"/>
        <w:ind w:left="567" w:right="567"/>
        <w:jc w:val="both"/>
      </w:pPr>
      <w:r>
        <w:rPr>
          <w:i/>
          <w:iCs/>
          <w:sz w:val="21"/>
          <w:szCs w:val="21"/>
        </w:rPr>
        <w:t xml:space="preserve">« Dans le registre, toutes les femmes ont une tension. Dans la réalité, certaines n'en ont pas eu. Le registre dit que tout est égal ; c'est faux. Une inégalité qu'on ne voit pas, personne ne la corrigera. »</w:t>
      </w:r>
    </w:p>
    <w:p>
      <w:pPr>
        <w:spacing w:after="160"/>
        <w:ind w:left="567" w:right="567"/>
        <w:jc w:val="right"/>
      </w:pPr>
      <w:r>
        <w:rPr>
          <w:color w:val="444444"/>
          <w:sz w:val="19"/>
          <w:szCs w:val="19"/>
        </w:rPr>
        <w:t xml:space="preserve">(P19)</w:t>
      </w:r>
    </w:p>
    <w:p>
      <w:pPr>
        <w:pStyle w:val="Heading3"/>
        <w:spacing w:after="100" w:before="180"/>
      </w:pPr>
      <w:r>
        <w:t xml:space="preserve">5.3.7. Thème 7 — Le dépistage hors des murs</w:t>
      </w:r>
    </w:p>
    <w:p>
      <w:pPr>
        <w:spacing w:after="140"/>
        <w:jc w:val="both"/>
      </w:pPr>
      <w:r>
        <w:rPr>
          <w:i w:val="false"/>
          <w:iCs w:val="false"/>
          <w:sz w:val="22"/>
          <w:szCs w:val="22"/>
        </w:rPr>
        <w:t xml:space="preserve">Définition. Relais communautaires et initiatives locales prolongent le dépistage là où le système ne prévoit rien ; ils reposent sur une personne. Deux participantes de centres ruraux s'appuient sur l'animatrice de santé maternelle (ASM) du village pour vérifier qu'une femme référée s'est rendue à l'hôpital ; aucun circuit de contre-référence ne formalise ce retour d'information, et l'écart passe alors entre les villages dont l'ASM est active et les autres. L'alerte que l'ASM envoie par téléphone organise l'urgence — convulsions, saignement — jusqu'à l'ambulance ; elle ne prévoit rien pour une femme référée pour une tension élevée qui ne se plaint de rien (2 participants).</w:t>
      </w:r>
    </w:p>
    <w:p>
      <w:pPr>
        <w:pStyle w:val="Heading2"/>
        <w:spacing w:after="120" w:before="220"/>
      </w:pPr>
      <w:r>
        <w:t xml:space="preserve">5.4. Portée reconnue en équité et transformations proposées</w:t>
      </w:r>
    </w:p>
    <w:p>
      <w:pPr>
        <w:spacing w:after="140"/>
        <w:jc w:val="both"/>
      </w:pPr>
      <w:r>
        <w:rPr>
          <w:i w:val="false"/>
          <w:iCs w:val="false"/>
          <w:sz w:val="22"/>
          <w:szCs w:val="22"/>
        </w:rPr>
        <w:t xml:space="preserve">Le mot « équité » n'a jamais été prononcé par l'enquêteur ; il apparaît spontanément dans 3 entretiens. Le jugement dominant est celui d'une inégalité inacceptable (16 participants), attribuée au système (13) mais aussi, pour 11 participants, à une part qui leur revient : l'explication (tableau VI). L'heure d'arrivée (7) et le lieu (6) apparaissent comme des facteurs d'inégalité qui ne dépendent pas de la femme. Une minorité exprime une résignation (5) ou refuse de juger (2).</w:t>
      </w:r>
    </w:p>
    <w:p>
      <w:pPr>
        <w:keepNext/>
        <w:spacing w:after="80" w:before="200"/>
      </w:pPr>
      <w:r>
        <w:rPr>
          <w:b/>
          <w:bCs/>
          <w:sz w:val="20"/>
          <w:szCs w:val="20"/>
        </w:rPr>
        <w:t xml:space="preserve">Tableau VI. Portée reconnue en équité : jugements et attributions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500"/>
        <w:gridCol w:w="1500"/>
        <w:gridCol w:w="1400"/>
      </w:tblGrid>
      <w:tr>
        <w:trPr>
          <w:tblHeader/>
        </w:trPr>
        <w:tc>
          <w:tcPr>
            <w:tcW w:type="dxa" w:w="4626"/>
            <w:shd w:fill="E8EDF2" w:color="auto" w:val="clear"/>
            <w:tcMar>
              <w:top w:type="dxa" w:w="60"/>
              <w:left w:type="dxa" w:w="100"/>
              <w:bottom w:type="dxa" w:w="60"/>
              <w:right w:type="dxa" w:w="100"/>
            </w:tcMar>
          </w:tcPr>
          <w:p>
            <w:pPr>
              <w:jc w:val="left"/>
            </w:pPr>
            <w:r>
              <w:rPr>
                <w:b/>
                <w:bCs/>
                <w:sz w:val="19"/>
                <w:szCs w:val="19"/>
              </w:rPr>
              <w:t xml:space="preserve">Catégorie (codes de la famille 8)</w:t>
            </w:r>
          </w:p>
        </w:tc>
        <w:tc>
          <w:tcPr>
            <w:tcW w:type="dxa" w:w="1500"/>
            <w:shd w:fill="E8EDF2" w:color="auto" w:val="clear"/>
            <w:tcMar>
              <w:top w:type="dxa" w:w="60"/>
              <w:left w:type="dxa" w:w="100"/>
              <w:bottom w:type="dxa" w:w="60"/>
              <w:right w:type="dxa" w:w="100"/>
            </w:tcMar>
          </w:tcPr>
          <w:p>
            <w:pPr>
              <w:jc w:val="left"/>
            </w:pPr>
            <w:r>
              <w:rPr>
                <w:b/>
                <w:bCs/>
                <w:sz w:val="19"/>
                <w:szCs w:val="19"/>
              </w:rPr>
              <w:t xml:space="preserve">Infirmiers (n = 10)</w:t>
            </w:r>
          </w:p>
        </w:tc>
        <w:tc>
          <w:tcPr>
            <w:tcW w:type="dxa" w:w="1500"/>
            <w:shd w:fill="E8EDF2" w:color="auto" w:val="clear"/>
            <w:tcMar>
              <w:top w:type="dxa" w:w="60"/>
              <w:left w:type="dxa" w:w="100"/>
              <w:bottom w:type="dxa" w:w="60"/>
              <w:right w:type="dxa" w:w="100"/>
            </w:tcMar>
          </w:tcPr>
          <w:p>
            <w:pPr>
              <w:jc w:val="left"/>
            </w:pPr>
            <w:r>
              <w:rPr>
                <w:b/>
                <w:bCs/>
                <w:sz w:val="19"/>
                <w:szCs w:val="19"/>
              </w:rPr>
              <w:t xml:space="preserve">Sages-femmes (n = 10)</w:t>
            </w:r>
          </w:p>
        </w:tc>
        <w:tc>
          <w:tcPr>
            <w:tcW w:type="dxa" w:w="1400"/>
            <w:shd w:fill="E8EDF2" w:color="auto" w:val="clear"/>
            <w:tcMar>
              <w:top w:type="dxa" w:w="60"/>
              <w:left w:type="dxa" w:w="100"/>
              <w:bottom w:type="dxa" w:w="60"/>
              <w:right w:type="dxa" w:w="100"/>
            </w:tcMar>
          </w:tcPr>
          <w:p>
            <w:pPr>
              <w:jc w:val="left"/>
            </w:pPr>
            <w:r>
              <w:rPr>
                <w:b/>
                <w:bCs/>
                <w:sz w:val="19"/>
                <w:szCs w:val="19"/>
              </w:rPr>
              <w:t xml:space="preserve">Total (n = 20)</w:t>
            </w:r>
          </w:p>
        </w:tc>
      </w:tr>
      <w:tr>
        <w:trPr>
          <w:tblHeader w:val="off"/>
        </w:trPr>
        <w:tc>
          <w:tcPr>
            <w:tcW w:type="dxa" w:w="9026"/>
            <w:gridSpan w:val="4"/>
            <w:shd w:fill="F4F6F8" w:color="auto" w:val="clear"/>
            <w:tcMar>
              <w:top w:type="dxa" w:w="60"/>
              <w:left w:type="dxa" w:w="100"/>
              <w:bottom w:type="dxa" w:w="60"/>
              <w:right w:type="dxa" w:w="100"/>
            </w:tcMar>
          </w:tcPr>
          <w:p>
            <w:r>
              <w:rPr>
                <w:b/>
                <w:bCs/>
                <w:i/>
                <w:iCs/>
                <w:sz w:val="19"/>
                <w:szCs w:val="19"/>
              </w:rPr>
              <w:t xml:space="preserve">Jugement porté sur les différences décrites</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Jugement : inacceptable</w:t>
            </w:r>
          </w:p>
        </w:tc>
        <w:tc>
          <w:tcPr>
            <w:tcW w:type="dxa" w:w="1500"/>
            <w:tcMar>
              <w:top w:type="dxa" w:w="60"/>
              <w:left w:type="dxa" w:w="100"/>
              <w:bottom w:type="dxa" w:w="60"/>
              <w:right w:type="dxa" w:w="100"/>
            </w:tcMar>
          </w:tcPr>
          <w:p>
            <w:pPr>
              <w:jc w:val="center"/>
            </w:pPr>
            <w:r>
              <w:rPr>
                <w:b w:val="false"/>
                <w:bCs w:val="false"/>
                <w:sz w:val="19"/>
                <w:szCs w:val="19"/>
              </w:rPr>
              <w:t xml:space="preserve">6</w:t>
            </w:r>
          </w:p>
        </w:tc>
        <w:tc>
          <w:tcPr>
            <w:tcW w:type="dxa" w:w="1500"/>
            <w:tcMar>
              <w:top w:type="dxa" w:w="60"/>
              <w:left w:type="dxa" w:w="100"/>
              <w:bottom w:type="dxa" w:w="60"/>
              <w:right w:type="dxa" w:w="100"/>
            </w:tcMar>
          </w:tcPr>
          <w:p>
            <w:pPr>
              <w:jc w:val="center"/>
            </w:pPr>
            <w:r>
              <w:rPr>
                <w:b w:val="false"/>
                <w:bCs w:val="false"/>
                <w:sz w:val="19"/>
                <w:szCs w:val="19"/>
              </w:rPr>
              <w:t xml:space="preserve">10</w:t>
            </w:r>
          </w:p>
        </w:tc>
        <w:tc>
          <w:tcPr>
            <w:tcW w:type="dxa" w:w="1400"/>
            <w:tcMar>
              <w:top w:type="dxa" w:w="60"/>
              <w:left w:type="dxa" w:w="100"/>
              <w:bottom w:type="dxa" w:w="60"/>
              <w:right w:type="dxa" w:w="100"/>
            </w:tcMar>
          </w:tcPr>
          <w:p>
            <w:pPr>
              <w:jc w:val="center"/>
            </w:pPr>
            <w:r>
              <w:rPr>
                <w:b w:val="false"/>
                <w:bCs w:val="false"/>
                <w:sz w:val="19"/>
                <w:szCs w:val="19"/>
              </w:rPr>
              <w:t xml:space="preserve">16</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Jugement : normalisation ou résignation</w:t>
            </w:r>
          </w:p>
        </w:tc>
        <w:tc>
          <w:tcPr>
            <w:tcW w:type="dxa" w:w="1500"/>
            <w:tcMar>
              <w:top w:type="dxa" w:w="60"/>
              <w:left w:type="dxa" w:w="100"/>
              <w:bottom w:type="dxa" w:w="60"/>
              <w:right w:type="dxa" w:w="100"/>
            </w:tcMar>
          </w:tcPr>
          <w:p>
            <w:pPr>
              <w:jc w:val="center"/>
            </w:pPr>
            <w:r>
              <w:rPr>
                <w:b w:val="false"/>
                <w:bCs w:val="false"/>
                <w:sz w:val="19"/>
                <w:szCs w:val="19"/>
              </w:rPr>
              <w:t xml:space="preserve">4</w:t>
            </w:r>
          </w:p>
        </w:tc>
        <w:tc>
          <w:tcPr>
            <w:tcW w:type="dxa" w:w="1500"/>
            <w:tcMar>
              <w:top w:type="dxa" w:w="60"/>
              <w:left w:type="dxa" w:w="100"/>
              <w:bottom w:type="dxa" w:w="60"/>
              <w:right w:type="dxa" w:w="100"/>
            </w:tcMar>
          </w:tcPr>
          <w:p>
            <w:pPr>
              <w:jc w:val="center"/>
            </w:pPr>
            <w:r>
              <w:rPr>
                <w:b w:val="false"/>
                <w:bCs w:val="false"/>
                <w:sz w:val="19"/>
                <w:szCs w:val="19"/>
              </w:rPr>
              <w:t xml:space="preserve">1</w:t>
            </w:r>
          </w:p>
        </w:tc>
        <w:tc>
          <w:tcPr>
            <w:tcW w:type="dxa" w:w="1400"/>
            <w:tcMar>
              <w:top w:type="dxa" w:w="60"/>
              <w:left w:type="dxa" w:w="100"/>
              <w:bottom w:type="dxa" w:w="60"/>
              <w:right w:type="dxa" w:w="100"/>
            </w:tcMar>
          </w:tcPr>
          <w:p>
            <w:pPr>
              <w:jc w:val="center"/>
            </w:pPr>
            <w:r>
              <w:rPr>
                <w:b w:val="false"/>
                <w:bCs w:val="false"/>
                <w:sz w:val="19"/>
                <w:szCs w:val="19"/>
              </w:rPr>
              <w:t xml:space="preserve">5</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Refus de juger</w:t>
            </w:r>
          </w:p>
        </w:tc>
        <w:tc>
          <w:tcPr>
            <w:tcW w:type="dxa" w:w="1500"/>
            <w:tcMar>
              <w:top w:type="dxa" w:w="60"/>
              <w:left w:type="dxa" w:w="100"/>
              <w:bottom w:type="dxa" w:w="60"/>
              <w:right w:type="dxa" w:w="100"/>
            </w:tcMar>
          </w:tcPr>
          <w:p>
            <w:pPr>
              <w:jc w:val="center"/>
            </w:pPr>
            <w:r>
              <w:rPr>
                <w:b w:val="false"/>
                <w:bCs w:val="false"/>
                <w:sz w:val="19"/>
                <w:szCs w:val="19"/>
              </w:rPr>
              <w:t xml:space="preserve">2</w:t>
            </w:r>
          </w:p>
        </w:tc>
        <w:tc>
          <w:tcPr>
            <w:tcW w:type="dxa" w:w="1500"/>
            <w:tcMar>
              <w:top w:type="dxa" w:w="60"/>
              <w:left w:type="dxa" w:w="100"/>
              <w:bottom w:type="dxa" w:w="60"/>
              <w:right w:type="dxa" w:w="100"/>
            </w:tcMar>
          </w:tcPr>
          <w:p>
            <w:pPr>
              <w:jc w:val="center"/>
            </w:pPr>
            <w:r>
              <w:rPr>
                <w:b w:val="false"/>
                <w:bCs w:val="false"/>
                <w:sz w:val="19"/>
                <w:szCs w:val="19"/>
              </w:rPr>
              <w:t xml:space="preserve">0</w:t>
            </w:r>
          </w:p>
        </w:tc>
        <w:tc>
          <w:tcPr>
            <w:tcW w:type="dxa" w:w="1400"/>
            <w:tcMar>
              <w:top w:type="dxa" w:w="60"/>
              <w:left w:type="dxa" w:w="100"/>
              <w:bottom w:type="dxa" w:w="60"/>
              <w:right w:type="dxa" w:w="100"/>
            </w:tcMar>
          </w:tcPr>
          <w:p>
            <w:pPr>
              <w:jc w:val="center"/>
            </w:pPr>
            <w:r>
              <w:rPr>
                <w:b w:val="false"/>
                <w:bCs w:val="false"/>
                <w:sz w:val="19"/>
                <w:szCs w:val="19"/>
              </w:rPr>
              <w:t xml:space="preserve">2</w:t>
            </w:r>
          </w:p>
        </w:tc>
      </w:tr>
      <w:tr>
        <w:trPr>
          <w:tblHeader w:val="off"/>
        </w:trPr>
        <w:tc>
          <w:tcPr>
            <w:tcW w:type="dxa" w:w="9026"/>
            <w:gridSpan w:val="4"/>
            <w:shd w:fill="F4F6F8" w:color="auto" w:val="clear"/>
            <w:tcMar>
              <w:top w:type="dxa" w:w="60"/>
              <w:left w:type="dxa" w:w="100"/>
              <w:bottom w:type="dxa" w:w="60"/>
              <w:right w:type="dxa" w:w="100"/>
            </w:tcMar>
          </w:tcPr>
          <w:p>
            <w:r>
              <w:rPr>
                <w:b/>
                <w:bCs/>
                <w:i/>
                <w:iCs/>
                <w:sz w:val="19"/>
                <w:szCs w:val="19"/>
              </w:rPr>
              <w:t xml:space="preserve">Attribution de la responsabilité</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Responsabilité attribuée au système</w:t>
            </w:r>
          </w:p>
        </w:tc>
        <w:tc>
          <w:tcPr>
            <w:tcW w:type="dxa" w:w="1500"/>
            <w:tcMar>
              <w:top w:type="dxa" w:w="60"/>
              <w:left w:type="dxa" w:w="100"/>
              <w:bottom w:type="dxa" w:w="60"/>
              <w:right w:type="dxa" w:w="100"/>
            </w:tcMar>
          </w:tcPr>
          <w:p>
            <w:pPr>
              <w:jc w:val="center"/>
            </w:pPr>
            <w:r>
              <w:rPr>
                <w:b w:val="false"/>
                <w:bCs w:val="false"/>
                <w:sz w:val="19"/>
                <w:szCs w:val="19"/>
              </w:rPr>
              <w:t xml:space="preserve">7</w:t>
            </w:r>
          </w:p>
        </w:tc>
        <w:tc>
          <w:tcPr>
            <w:tcW w:type="dxa" w:w="1500"/>
            <w:tcMar>
              <w:top w:type="dxa" w:w="60"/>
              <w:left w:type="dxa" w:w="100"/>
              <w:bottom w:type="dxa" w:w="60"/>
              <w:right w:type="dxa" w:w="100"/>
            </w:tcMar>
          </w:tcPr>
          <w:p>
            <w:pPr>
              <w:jc w:val="center"/>
            </w:pPr>
            <w:r>
              <w:rPr>
                <w:b w:val="false"/>
                <w:bCs w:val="false"/>
                <w:sz w:val="19"/>
                <w:szCs w:val="19"/>
              </w:rPr>
              <w:t xml:space="preserve">6</w:t>
            </w:r>
          </w:p>
        </w:tc>
        <w:tc>
          <w:tcPr>
            <w:tcW w:type="dxa" w:w="1400"/>
            <w:tcMar>
              <w:top w:type="dxa" w:w="60"/>
              <w:left w:type="dxa" w:w="100"/>
              <w:bottom w:type="dxa" w:w="60"/>
              <w:right w:type="dxa" w:w="100"/>
            </w:tcMar>
          </w:tcPr>
          <w:p>
            <w:pPr>
              <w:jc w:val="center"/>
            </w:pPr>
            <w:r>
              <w:rPr>
                <w:b w:val="false"/>
                <w:bCs w:val="false"/>
                <w:sz w:val="19"/>
                <w:szCs w:val="19"/>
              </w:rPr>
              <w:t xml:space="preserve">13</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Responsabilité reconnue comme sienne</w:t>
            </w:r>
          </w:p>
        </w:tc>
        <w:tc>
          <w:tcPr>
            <w:tcW w:type="dxa" w:w="1500"/>
            <w:tcMar>
              <w:top w:type="dxa" w:w="60"/>
              <w:left w:type="dxa" w:w="100"/>
              <w:bottom w:type="dxa" w:w="60"/>
              <w:right w:type="dxa" w:w="100"/>
            </w:tcMar>
          </w:tcPr>
          <w:p>
            <w:pPr>
              <w:jc w:val="center"/>
            </w:pPr>
            <w:r>
              <w:rPr>
                <w:b w:val="false"/>
                <w:bCs w:val="false"/>
                <w:sz w:val="19"/>
                <w:szCs w:val="19"/>
              </w:rPr>
              <w:t xml:space="preserve">6</w:t>
            </w:r>
          </w:p>
        </w:tc>
        <w:tc>
          <w:tcPr>
            <w:tcW w:type="dxa" w:w="1500"/>
            <w:tcMar>
              <w:top w:type="dxa" w:w="60"/>
              <w:left w:type="dxa" w:w="100"/>
              <w:bottom w:type="dxa" w:w="60"/>
              <w:right w:type="dxa" w:w="100"/>
            </w:tcMar>
          </w:tcPr>
          <w:p>
            <w:pPr>
              <w:jc w:val="center"/>
            </w:pPr>
            <w:r>
              <w:rPr>
                <w:b w:val="false"/>
                <w:bCs w:val="false"/>
                <w:sz w:val="19"/>
                <w:szCs w:val="19"/>
              </w:rPr>
              <w:t xml:space="preserve">5</w:t>
            </w:r>
          </w:p>
        </w:tc>
        <w:tc>
          <w:tcPr>
            <w:tcW w:type="dxa" w:w="1400"/>
            <w:tcMar>
              <w:top w:type="dxa" w:w="60"/>
              <w:left w:type="dxa" w:w="100"/>
              <w:bottom w:type="dxa" w:w="60"/>
              <w:right w:type="dxa" w:w="100"/>
            </w:tcMar>
          </w:tcPr>
          <w:p>
            <w:pPr>
              <w:jc w:val="center"/>
            </w:pPr>
            <w:r>
              <w:rPr>
                <w:b w:val="false"/>
                <w:bCs w:val="false"/>
                <w:sz w:val="19"/>
                <w:szCs w:val="19"/>
              </w:rPr>
              <w:t xml:space="preserve">11</w:t>
            </w:r>
          </w:p>
        </w:tc>
      </w:tr>
      <w:tr>
        <w:trPr>
          <w:tblHeader w:val="off"/>
        </w:trPr>
        <w:tc>
          <w:tcPr>
            <w:tcW w:type="dxa" w:w="9026"/>
            <w:gridSpan w:val="4"/>
            <w:shd w:fill="F4F6F8" w:color="auto" w:val="clear"/>
            <w:tcMar>
              <w:top w:type="dxa" w:w="60"/>
              <w:left w:type="dxa" w:w="100"/>
              <w:bottom w:type="dxa" w:w="60"/>
              <w:right w:type="dxa" w:w="100"/>
            </w:tcMar>
          </w:tcPr>
          <w:p>
            <w:r>
              <w:rPr>
                <w:b/>
                <w:bCs/>
                <w:i/>
                <w:iCs/>
                <w:sz w:val="19"/>
                <w:szCs w:val="19"/>
              </w:rPr>
              <w:t xml:space="preserve">Facteurs d'inégalité nés du codage inductif</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L'heure d'arrivée comme facteur d'inégalité</w:t>
            </w:r>
          </w:p>
        </w:tc>
        <w:tc>
          <w:tcPr>
            <w:tcW w:type="dxa" w:w="1500"/>
            <w:tcMar>
              <w:top w:type="dxa" w:w="60"/>
              <w:left w:type="dxa" w:w="100"/>
              <w:bottom w:type="dxa" w:w="60"/>
              <w:right w:type="dxa" w:w="100"/>
            </w:tcMar>
          </w:tcPr>
          <w:p>
            <w:pPr>
              <w:jc w:val="center"/>
            </w:pPr>
            <w:r>
              <w:rPr>
                <w:b w:val="false"/>
                <w:bCs w:val="false"/>
                <w:sz w:val="19"/>
                <w:szCs w:val="19"/>
              </w:rPr>
              <w:t xml:space="preserve">3</w:t>
            </w:r>
          </w:p>
        </w:tc>
        <w:tc>
          <w:tcPr>
            <w:tcW w:type="dxa" w:w="1500"/>
            <w:tcMar>
              <w:top w:type="dxa" w:w="60"/>
              <w:left w:type="dxa" w:w="100"/>
              <w:bottom w:type="dxa" w:w="60"/>
              <w:right w:type="dxa" w:w="100"/>
            </w:tcMar>
          </w:tcPr>
          <w:p>
            <w:pPr>
              <w:jc w:val="center"/>
            </w:pPr>
            <w:r>
              <w:rPr>
                <w:b w:val="false"/>
                <w:bCs w:val="false"/>
                <w:sz w:val="19"/>
                <w:szCs w:val="19"/>
              </w:rPr>
              <w:t xml:space="preserve">4</w:t>
            </w:r>
          </w:p>
        </w:tc>
        <w:tc>
          <w:tcPr>
            <w:tcW w:type="dxa" w:w="1400"/>
            <w:tcMar>
              <w:top w:type="dxa" w:w="60"/>
              <w:left w:type="dxa" w:w="100"/>
              <w:bottom w:type="dxa" w:w="60"/>
              <w:right w:type="dxa" w:w="100"/>
            </w:tcMar>
          </w:tcPr>
          <w:p>
            <w:pPr>
              <w:jc w:val="center"/>
            </w:pPr>
            <w:r>
              <w:rPr>
                <w:b w:val="false"/>
                <w:bCs w:val="false"/>
                <w:sz w:val="19"/>
                <w:szCs w:val="19"/>
              </w:rPr>
              <w:t xml:space="preserve">7</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Le lieu décide de ce qu'on reçoit</w:t>
            </w:r>
          </w:p>
        </w:tc>
        <w:tc>
          <w:tcPr>
            <w:tcW w:type="dxa" w:w="1500"/>
            <w:tcMar>
              <w:top w:type="dxa" w:w="60"/>
              <w:left w:type="dxa" w:w="100"/>
              <w:bottom w:type="dxa" w:w="60"/>
              <w:right w:type="dxa" w:w="100"/>
            </w:tcMar>
          </w:tcPr>
          <w:p>
            <w:pPr>
              <w:jc w:val="center"/>
            </w:pPr>
            <w:r>
              <w:rPr>
                <w:b w:val="false"/>
                <w:bCs w:val="false"/>
                <w:sz w:val="19"/>
                <w:szCs w:val="19"/>
              </w:rPr>
              <w:t xml:space="preserve">2</w:t>
            </w:r>
          </w:p>
        </w:tc>
        <w:tc>
          <w:tcPr>
            <w:tcW w:type="dxa" w:w="1500"/>
            <w:tcMar>
              <w:top w:type="dxa" w:w="60"/>
              <w:left w:type="dxa" w:w="100"/>
              <w:bottom w:type="dxa" w:w="60"/>
              <w:right w:type="dxa" w:w="100"/>
            </w:tcMar>
          </w:tcPr>
          <w:p>
            <w:pPr>
              <w:jc w:val="center"/>
            </w:pPr>
            <w:r>
              <w:rPr>
                <w:b w:val="false"/>
                <w:bCs w:val="false"/>
                <w:sz w:val="19"/>
                <w:szCs w:val="19"/>
              </w:rPr>
              <w:t xml:space="preserve">4</w:t>
            </w:r>
          </w:p>
        </w:tc>
        <w:tc>
          <w:tcPr>
            <w:tcW w:type="dxa" w:w="1400"/>
            <w:tcMar>
              <w:top w:type="dxa" w:w="60"/>
              <w:left w:type="dxa" w:w="100"/>
              <w:bottom w:type="dxa" w:w="60"/>
              <w:right w:type="dxa" w:w="100"/>
            </w:tcMar>
          </w:tcPr>
          <w:p>
            <w:pPr>
              <w:jc w:val="center"/>
            </w:pPr>
            <w:r>
              <w:rPr>
                <w:b w:val="false"/>
                <w:bCs w:val="false"/>
                <w:sz w:val="19"/>
                <w:szCs w:val="19"/>
              </w:rPr>
              <w:t xml:space="preserve">6</w:t>
            </w:r>
          </w:p>
        </w:tc>
      </w:tr>
      <w:tr>
        <w:trPr>
          <w:tblHeader w:val="off"/>
        </w:trPr>
        <w:tc>
          <w:tcPr>
            <w:tcW w:type="dxa" w:w="4626"/>
            <w:tcMar>
              <w:top w:type="dxa" w:w="60"/>
              <w:left w:type="dxa" w:w="100"/>
              <w:bottom w:type="dxa" w:w="60"/>
              <w:right w:type="dxa" w:w="100"/>
            </w:tcMar>
          </w:tcPr>
          <w:p>
            <w:pPr>
              <w:jc w:val="left"/>
            </w:pPr>
            <w:r>
              <w:rPr>
                <w:b w:val="false"/>
                <w:bCs w:val="false"/>
                <w:sz w:val="19"/>
                <w:szCs w:val="19"/>
              </w:rPr>
              <w:t xml:space="preserve">Refus de catégoriser les femmes</w:t>
            </w:r>
          </w:p>
        </w:tc>
        <w:tc>
          <w:tcPr>
            <w:tcW w:type="dxa" w:w="1500"/>
            <w:tcMar>
              <w:top w:type="dxa" w:w="60"/>
              <w:left w:type="dxa" w:w="100"/>
              <w:bottom w:type="dxa" w:w="60"/>
              <w:right w:type="dxa" w:w="100"/>
            </w:tcMar>
          </w:tcPr>
          <w:p>
            <w:pPr>
              <w:jc w:val="center"/>
            </w:pPr>
            <w:r>
              <w:rPr>
                <w:b w:val="false"/>
                <w:bCs w:val="false"/>
                <w:sz w:val="19"/>
                <w:szCs w:val="19"/>
              </w:rPr>
              <w:t xml:space="preserve">1</w:t>
            </w:r>
          </w:p>
        </w:tc>
        <w:tc>
          <w:tcPr>
            <w:tcW w:type="dxa" w:w="1500"/>
            <w:tcMar>
              <w:top w:type="dxa" w:w="60"/>
              <w:left w:type="dxa" w:w="100"/>
              <w:bottom w:type="dxa" w:w="60"/>
              <w:right w:type="dxa" w:w="100"/>
            </w:tcMar>
          </w:tcPr>
          <w:p>
            <w:pPr>
              <w:jc w:val="center"/>
            </w:pPr>
            <w:r>
              <w:rPr>
                <w:b w:val="false"/>
                <w:bCs w:val="false"/>
                <w:sz w:val="19"/>
                <w:szCs w:val="19"/>
              </w:rPr>
              <w:t xml:space="preserve">0</w:t>
            </w:r>
          </w:p>
        </w:tc>
        <w:tc>
          <w:tcPr>
            <w:tcW w:type="dxa" w:w="1400"/>
            <w:tcMar>
              <w:top w:type="dxa" w:w="60"/>
              <w:left w:type="dxa" w:w="100"/>
              <w:bottom w:type="dxa" w:w="60"/>
              <w:right w:type="dxa" w:w="100"/>
            </w:tcMar>
          </w:tcPr>
          <w:p>
            <w:pPr>
              <w:jc w:val="center"/>
            </w:pPr>
            <w:r>
              <w:rPr>
                <w:b w:val="false"/>
                <w:bCs w:val="false"/>
                <w:sz w:val="19"/>
                <w:szCs w:val="19"/>
              </w:rPr>
              <w:t xml:space="preserve">1</w:t>
            </w:r>
          </w:p>
        </w:tc>
      </w:tr>
    </w:tbl>
    <w:p>
      <w:pPr>
        <w:spacing w:after="200" w:before="60"/>
      </w:pPr>
      <w:r>
        <w:rPr>
          <w:i/>
          <w:iCs/>
          <w:color w:val="555555"/>
          <w:sz w:val="18"/>
          <w:szCs w:val="18"/>
        </w:rPr>
        <w:t xml:space="preserve">Source : codage des entretiens (Q19 et recoupements Q11 à Q14) ; un participant peut relever de plusieurs lignes.</w:t>
      </w:r>
    </w:p>
    <w:p>
      <w:pPr>
        <w:spacing w:after="40" w:before="60"/>
        <w:ind w:left="567" w:right="567"/>
        <w:jc w:val="both"/>
      </w:pPr>
      <w:r>
        <w:rPr>
          <w:i/>
          <w:iCs/>
          <w:sz w:val="21"/>
          <w:szCs w:val="21"/>
        </w:rPr>
        <w:t xml:space="preserve">« Et il y a l'inégalité qui vient de moi — le temps que je donne, les mots que je choisis selon la personne que j'ai devant moi : celle-là, elle est à moi, et c'est la seule sur laquelle j'ai prise. »</w:t>
      </w:r>
    </w:p>
    <w:p>
      <w:pPr>
        <w:spacing w:after="160"/>
        <w:ind w:left="567" w:right="567"/>
        <w:jc w:val="right"/>
      </w:pPr>
      <w:r>
        <w:rPr>
          <w:color w:val="444444"/>
          <w:sz w:val="19"/>
          <w:szCs w:val="19"/>
        </w:rPr>
        <w:t xml:space="preserve">(P07, sage-femme)</w:t>
      </w:r>
    </w:p>
    <w:p>
      <w:pPr>
        <w:spacing w:after="140"/>
        <w:jc w:val="both"/>
      </w:pPr>
      <w:r>
        <w:rPr>
          <w:i w:val="false"/>
          <w:iCs w:val="false"/>
          <w:sz w:val="22"/>
          <w:szCs w:val="22"/>
        </w:rPr>
        <w:t xml:space="preserve">Invités à désigner une seule priorité, les participants se partagent entre intrants, formation, personnel, référence et redevabilité, souvent en l'argumentant contre une autre option. La proposition d'un indicateur (8 participants) vise le mécanisme du thème 4 plutôt que l'un de ses effets. D'autres proposent d'inscrire la tension et le sucre au programme des séances d'éducation, ou de passer par l'umugoroba w'ababyeyi, le forum villageois des parents, pour atteindre les maris et les familles (2).</w:t>
      </w:r>
    </w:p>
    <w:p>
      <w:pPr>
        <w:spacing w:after="40" w:before="60"/>
        <w:ind w:left="567" w:right="567"/>
        <w:jc w:val="both"/>
      </w:pPr>
      <w:r>
        <w:rPr>
          <w:i/>
          <w:iCs/>
          <w:sz w:val="21"/>
          <w:szCs w:val="21"/>
        </w:rPr>
        <w:t xml:space="preserve">« Une seule ligne dans le rapport mensuel : nombre de femmes dont la tension a été mesurée, nombre de tensions élevées trouvées, nombre référées. »</w:t>
      </w:r>
    </w:p>
    <w:p>
      <w:pPr>
        <w:spacing w:after="160"/>
        <w:ind w:left="567" w:right="567"/>
        <w:jc w:val="right"/>
      </w:pPr>
      <w:r>
        <w:rPr>
          <w:color w:val="444444"/>
          <w:sz w:val="19"/>
          <w:szCs w:val="19"/>
        </w:rPr>
        <w:t xml:space="preserve">(P09, infirmière — traduit du kinyarwanda)</w:t>
      </w:r>
    </w:p>
    <w:p>
      <w:pPr>
        <w:pStyle w:val="Heading2"/>
        <w:spacing w:after="120" w:before="220"/>
      </w:pPr>
      <w:r>
        <w:t xml:space="preserve">5.5. Triangulation et synthèse</w:t>
      </w:r>
    </w:p>
    <w:p>
      <w:pPr>
        <w:spacing w:after="140"/>
        <w:jc w:val="both"/>
      </w:pPr>
      <w:r>
        <w:rPr>
          <w:i w:val="false"/>
          <w:iCs w:val="false"/>
          <w:sz w:val="22"/>
          <w:szCs w:val="22"/>
        </w:rPr>
        <w:t xml:space="preserve">Sur les 15 centres observés, 8 ont fait l'objet d'un constat de confrontation entre propos et observation : 6 concordances et 2 écarts. L'observation a situé le glucomètre au laboratoire, confirmé le circuit de la glycémie là où il fonctionne et corroboré l'effet de registre du thème 6 et le contenu des séances d'éducation ; les écarts, consignés sans être imputés à une intention, portent sur une mesure déclarée systématique et sur une explication déclarée individualisée. Les données de routine, qui ne collectent pas la glycémie de CPN, montrent un premier contact plus tardif dans les secteurs les plus pauvres.</w:t>
      </w:r>
    </w:p>
    <w:p>
      <w:pPr>
        <w:spacing w:after="140"/>
        <w:jc w:val="both"/>
      </w:pPr>
      <w:r>
        <w:rPr>
          <w:i w:val="false"/>
          <w:iCs w:val="false"/>
          <w:sz w:val="22"/>
          <w:szCs w:val="22"/>
        </w:rPr>
        <w:t xml:space="preserve">Le tableau VII rassemble les sept thèmes. Ils décrivent un dépistage dont la réalisation dépend moins de la volonté des professionnels que de conditions qu'ils ne maîtrisent pas — le circuit de la glycémie et son coût quand elle est référée hors du centre, le temps, le véhicule, l'indicateur —, mais aussi d'une part qui leur revient : l'explication.</w:t>
      </w:r>
    </w:p>
    <w:p>
      <w:pPr>
        <w:keepNext/>
        <w:spacing w:after="80" w:before="200"/>
      </w:pPr>
      <w:r>
        <w:rPr>
          <w:b/>
          <w:bCs/>
          <w:sz w:val="20"/>
          <w:szCs w:val="20"/>
        </w:rPr>
        <w:t xml:space="preserve">Tableau VII. Synthèse des thèmes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shd w:fill="E8EDF2" w:color="auto" w:val="clear"/>
            <w:tcMar>
              <w:top w:type="dxa" w:w="60"/>
              <w:left w:type="dxa" w:w="100"/>
              <w:bottom w:type="dxa" w:w="60"/>
              <w:right w:type="dxa" w:w="100"/>
            </w:tcMar>
          </w:tcPr>
          <w:p>
            <w:r>
              <w:rPr>
                <w:b/>
                <w:bCs/>
                <w:i w:val="false"/>
                <w:iCs w:val="false"/>
                <w:sz w:val="19"/>
                <w:szCs w:val="19"/>
              </w:rPr>
              <w:t xml:space="preserve">Thème</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Objectif</w:t>
            </w:r>
          </w:p>
        </w:tc>
        <w:tc>
          <w:tcPr>
            <w:tcW w:type="dxa" w:w="4326"/>
            <w:shd w:fill="E8EDF2" w:color="auto" w:val="clear"/>
            <w:tcMar>
              <w:top w:type="dxa" w:w="60"/>
              <w:left w:type="dxa" w:w="100"/>
              <w:bottom w:type="dxa" w:w="60"/>
              <w:right w:type="dxa" w:w="100"/>
            </w:tcMar>
          </w:tcPr>
          <w:p>
            <w:r>
              <w:rPr>
                <w:b/>
                <w:bCs/>
                <w:i w:val="false"/>
                <w:iCs w:val="false"/>
                <w:sz w:val="19"/>
                <w:szCs w:val="19"/>
              </w:rPr>
              <w:t xml:space="preserve">Énoncé</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T1. Un dépistage coupé en deux</w:t>
            </w:r>
          </w:p>
        </w:tc>
        <w:tc>
          <w:tcPr>
            <w:tcW w:type="dxa" w:w="1500"/>
            <w:tcMar>
              <w:top w:type="dxa" w:w="60"/>
              <w:left w:type="dxa" w:w="100"/>
              <w:bottom w:type="dxa" w:w="60"/>
              <w:right w:type="dxa" w:w="100"/>
            </w:tcMar>
          </w:tcPr>
          <w:p>
            <w:r>
              <w:rPr>
                <w:b w:val="false"/>
                <w:bCs w:val="false"/>
                <w:i w:val="false"/>
                <w:iCs w:val="false"/>
                <w:sz w:val="19"/>
                <w:szCs w:val="19"/>
              </w:rPr>
              <w:t xml:space="preserve">OS1</w:t>
            </w:r>
          </w:p>
        </w:tc>
        <w:tc>
          <w:tcPr>
            <w:tcW w:type="dxa" w:w="4326"/>
            <w:tcMar>
              <w:top w:type="dxa" w:w="60"/>
              <w:left w:type="dxa" w:w="100"/>
              <w:bottom w:type="dxa" w:w="60"/>
              <w:right w:type="dxa" w:w="100"/>
            </w:tcMar>
          </w:tcPr>
          <w:p>
            <w:r>
              <w:rPr>
                <w:b w:val="false"/>
                <w:bCs w:val="false"/>
                <w:i w:val="false"/>
                <w:iCs w:val="false"/>
                <w:sz w:val="19"/>
                <w:szCs w:val="19"/>
              </w:rPr>
              <w:t xml:space="preserve">La tension est mesurée à chaque visite ; la glycémie, prévue pour toutes à la première CPN, dépend du laboratoire et n'est pas refaite à 24-28 semaines ; là où le circuit est fermé, même le test initial disparaît.</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T2. Expliquer moins à celles qui savent le moins</w:t>
            </w:r>
          </w:p>
        </w:tc>
        <w:tc>
          <w:tcPr>
            <w:tcW w:type="dxa" w:w="1500"/>
            <w:tcMar>
              <w:top w:type="dxa" w:w="60"/>
              <w:left w:type="dxa" w:w="100"/>
              <w:bottom w:type="dxa" w:w="60"/>
              <w:right w:type="dxa" w:w="100"/>
            </w:tcMar>
          </w:tcPr>
          <w:p>
            <w:r>
              <w:rPr>
                <w:b w:val="false"/>
                <w:bCs w:val="false"/>
                <w:i w:val="false"/>
                <w:iCs w:val="false"/>
                <w:sz w:val="19"/>
                <w:szCs w:val="19"/>
              </w:rPr>
              <w:t xml:space="preserve">OS1</w:t>
            </w:r>
          </w:p>
        </w:tc>
        <w:tc>
          <w:tcPr>
            <w:tcW w:type="dxa" w:w="4326"/>
            <w:tcMar>
              <w:top w:type="dxa" w:w="60"/>
              <w:left w:type="dxa" w:w="100"/>
              <w:bottom w:type="dxa" w:w="60"/>
              <w:right w:type="dxa" w:w="100"/>
            </w:tcMar>
          </w:tcPr>
          <w:p>
            <w:r>
              <w:rPr>
                <w:b w:val="false"/>
                <w:bCs w:val="false"/>
                <w:i w:val="false"/>
                <w:iCs w:val="false"/>
                <w:sz w:val="19"/>
                <w:szCs w:val="19"/>
              </w:rPr>
              <w:t xml:space="preserve">L'explication varie avec l'heure, la charge et l'idée que l'on se fait de la femme, à l'inverse des besoins ; la séance collective, égale pour les présentes, ne restitue aucun résultat.</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T3. Trouver sans pouvoir suivre</w:t>
            </w:r>
          </w:p>
        </w:tc>
        <w:tc>
          <w:tcPr>
            <w:tcW w:type="dxa" w:w="1500"/>
            <w:tcMar>
              <w:top w:type="dxa" w:w="60"/>
              <w:left w:type="dxa" w:w="100"/>
              <w:bottom w:type="dxa" w:w="60"/>
              <w:right w:type="dxa" w:w="100"/>
            </w:tcMar>
          </w:tcPr>
          <w:p>
            <w:r>
              <w:rPr>
                <w:b w:val="false"/>
                <w:bCs w:val="false"/>
                <w:i w:val="false"/>
                <w:iCs w:val="false"/>
                <w:sz w:val="19"/>
                <w:szCs w:val="19"/>
              </w:rPr>
              <w:t xml:space="preserve">OS2</w:t>
            </w:r>
          </w:p>
        </w:tc>
        <w:tc>
          <w:tcPr>
            <w:tcW w:type="dxa" w:w="4326"/>
            <w:tcMar>
              <w:top w:type="dxa" w:w="60"/>
              <w:left w:type="dxa" w:w="100"/>
              <w:bottom w:type="dxa" w:w="60"/>
              <w:right w:type="dxa" w:w="100"/>
            </w:tcMar>
          </w:tcPr>
          <w:p>
            <w:r>
              <w:rPr>
                <w:b w:val="false"/>
                <w:bCs w:val="false"/>
                <w:i w:val="false"/>
                <w:iCs w:val="false"/>
                <w:sz w:val="19"/>
                <w:szCs w:val="19"/>
              </w:rPr>
              <w:t xml:space="preserve">La détection ne devient prise en charge que si la référence aboutit et si l'information revient ; l'attente du conjoint et l'effet de seuil de l'ubudehe pèsent sur le parcours.</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T4. Ce qui est compté existe</w:t>
            </w:r>
          </w:p>
        </w:tc>
        <w:tc>
          <w:tcPr>
            <w:tcW w:type="dxa" w:w="1500"/>
            <w:tcMar>
              <w:top w:type="dxa" w:w="60"/>
              <w:left w:type="dxa" w:w="100"/>
              <w:bottom w:type="dxa" w:w="60"/>
              <w:right w:type="dxa" w:w="100"/>
            </w:tcMar>
          </w:tcPr>
          <w:p>
            <w:r>
              <w:rPr>
                <w:b w:val="false"/>
                <w:bCs w:val="false"/>
                <w:i w:val="false"/>
                <w:iCs w:val="false"/>
                <w:sz w:val="19"/>
                <w:szCs w:val="19"/>
              </w:rPr>
              <w:t xml:space="preserve">OS2</w:t>
            </w:r>
          </w:p>
        </w:tc>
        <w:tc>
          <w:tcPr>
            <w:tcW w:type="dxa" w:w="4326"/>
            <w:tcMar>
              <w:top w:type="dxa" w:w="60"/>
              <w:left w:type="dxa" w:w="100"/>
              <w:bottom w:type="dxa" w:w="60"/>
              <w:right w:type="dxa" w:w="100"/>
            </w:tcMar>
          </w:tcPr>
          <w:p>
            <w:r>
              <w:rPr>
                <w:b w:val="false"/>
                <w:bCs w:val="false"/>
                <w:i w:val="false"/>
                <w:iCs w:val="false"/>
                <w:sz w:val="19"/>
                <w:szCs w:val="19"/>
              </w:rPr>
              <w:t xml:space="preserve">Intrants, maintenance et attention suivent les indicateurs ; le dépistage n'en fait pas partie.</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T5. Ce que change la dotation, et ce qu'elle ne change pas</w:t>
            </w:r>
          </w:p>
        </w:tc>
        <w:tc>
          <w:tcPr>
            <w:tcW w:type="dxa" w:w="1500"/>
            <w:tcMar>
              <w:top w:type="dxa" w:w="60"/>
              <w:left w:type="dxa" w:w="100"/>
              <w:bottom w:type="dxa" w:w="60"/>
              <w:right w:type="dxa" w:w="100"/>
            </w:tcMar>
          </w:tcPr>
          <w:p>
            <w:r>
              <w:rPr>
                <w:b w:val="false"/>
                <w:bCs w:val="false"/>
                <w:i w:val="false"/>
                <w:iCs w:val="false"/>
                <w:sz w:val="19"/>
                <w:szCs w:val="19"/>
              </w:rPr>
              <w:t xml:space="preserve">OS2</w:t>
            </w:r>
          </w:p>
        </w:tc>
        <w:tc>
          <w:tcPr>
            <w:tcW w:type="dxa" w:w="4326"/>
            <w:tcMar>
              <w:top w:type="dxa" w:w="60"/>
              <w:left w:type="dxa" w:w="100"/>
              <w:bottom w:type="dxa" w:w="60"/>
              <w:right w:type="dxa" w:w="100"/>
            </w:tcMar>
          </w:tcPr>
          <w:p>
            <w:r>
              <w:rPr>
                <w:b w:val="false"/>
                <w:bCs w:val="false"/>
                <w:i w:val="false"/>
                <w:iCs w:val="false"/>
                <w:sz w:val="19"/>
                <w:szCs w:val="19"/>
              </w:rPr>
              <w:t xml:space="preserve">L'équipement rend possible le test initial, mais ne règle ni le contrôle tardif ni l'explication.</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T6. Le registre comme écran</w:t>
            </w:r>
          </w:p>
        </w:tc>
        <w:tc>
          <w:tcPr>
            <w:tcW w:type="dxa" w:w="1500"/>
            <w:tcMar>
              <w:top w:type="dxa" w:w="60"/>
              <w:left w:type="dxa" w:w="100"/>
              <w:bottom w:type="dxa" w:w="60"/>
              <w:right w:type="dxa" w:w="100"/>
            </w:tcMar>
          </w:tcPr>
          <w:p>
            <w:r>
              <w:rPr>
                <w:b w:val="false"/>
                <w:bCs w:val="false"/>
                <w:i w:val="false"/>
                <w:iCs w:val="false"/>
                <w:sz w:val="19"/>
                <w:szCs w:val="19"/>
              </w:rPr>
              <w:t xml:space="preserve">OS2, équité</w:t>
            </w:r>
          </w:p>
        </w:tc>
        <w:tc>
          <w:tcPr>
            <w:tcW w:type="dxa" w:w="4326"/>
            <w:tcMar>
              <w:top w:type="dxa" w:w="60"/>
              <w:left w:type="dxa" w:w="100"/>
              <w:bottom w:type="dxa" w:w="60"/>
              <w:right w:type="dxa" w:w="100"/>
            </w:tcMar>
          </w:tcPr>
          <w:p>
            <w:r>
              <w:rPr>
                <w:b w:val="false"/>
                <w:bCs w:val="false"/>
                <w:i w:val="false"/>
                <w:iCs w:val="false"/>
                <w:sz w:val="19"/>
                <w:szCs w:val="19"/>
              </w:rPr>
              <w:t xml:space="preserve">Un contrôle de complétude produit de la complétude et peut masquer l'inégalité.</w:t>
            </w:r>
          </w:p>
        </w:tc>
      </w:tr>
      <w:tr>
        <w:trPr>
          <w:tblHeader w:val="off"/>
        </w:trPr>
        <w:tc>
          <w:tcPr>
            <w:tcW w:type="dxa" w:w="3200"/>
            <w:tcMar>
              <w:top w:type="dxa" w:w="60"/>
              <w:left w:type="dxa" w:w="100"/>
              <w:bottom w:type="dxa" w:w="60"/>
              <w:right w:type="dxa" w:w="100"/>
            </w:tcMar>
          </w:tcPr>
          <w:p>
            <w:r>
              <w:rPr>
                <w:b w:val="false"/>
                <w:bCs w:val="false"/>
                <w:i w:val="false"/>
                <w:iCs w:val="false"/>
                <w:sz w:val="19"/>
                <w:szCs w:val="19"/>
              </w:rPr>
              <w:t xml:space="preserve">T7. Le dépistage hors des murs</w:t>
            </w:r>
          </w:p>
        </w:tc>
        <w:tc>
          <w:tcPr>
            <w:tcW w:type="dxa" w:w="1500"/>
            <w:tcMar>
              <w:top w:type="dxa" w:w="60"/>
              <w:left w:type="dxa" w:w="100"/>
              <w:bottom w:type="dxa" w:w="60"/>
              <w:right w:type="dxa" w:w="100"/>
            </w:tcMar>
          </w:tcPr>
          <w:p>
            <w:r>
              <w:rPr>
                <w:b w:val="false"/>
                <w:bCs w:val="false"/>
                <w:i w:val="false"/>
                <w:iCs w:val="false"/>
                <w:sz w:val="19"/>
                <w:szCs w:val="19"/>
              </w:rPr>
              <w:t xml:space="preserve">OS2, transformations</w:t>
            </w:r>
          </w:p>
        </w:tc>
        <w:tc>
          <w:tcPr>
            <w:tcW w:type="dxa" w:w="4326"/>
            <w:tcMar>
              <w:top w:type="dxa" w:w="60"/>
              <w:left w:type="dxa" w:w="100"/>
              <w:bottom w:type="dxa" w:w="60"/>
              <w:right w:type="dxa" w:w="100"/>
            </w:tcMar>
          </w:tcPr>
          <w:p>
            <w:r>
              <w:rPr>
                <w:b w:val="false"/>
                <w:bCs w:val="false"/>
                <w:i w:val="false"/>
                <w:iCs w:val="false"/>
                <w:sz w:val="19"/>
                <w:szCs w:val="19"/>
              </w:rPr>
              <w:t xml:space="preserve">Relais communautaires et initiatives locales prolongent le dépistage ; l'alerte des ASM organise l'urgence, pas le contrôle.</w:t>
            </w:r>
          </w:p>
        </w:tc>
      </w:tr>
    </w:tbl>
    <w:p>
      <w:pPr>
        <w:spacing w:after="200" w:before="60"/>
      </w:pPr>
      <w:r>
        <w:rPr>
          <w:i/>
          <w:iCs/>
          <w:color w:val="555555"/>
          <w:sz w:val="18"/>
          <w:szCs w:val="18"/>
        </w:rPr>
        <w:t xml:space="preserve">Source : mémo « Phase 5 — Définition et dénomination des thèmes » du projet QualiCode.</w:t>
      </w:r>
    </w:p>
    <w:p>
      <w:r>
        <w:br w:type="page"/>
      </w:r>
    </w:p>
    <w:p>
      <w:pPr>
        <w:pStyle w:val="Heading1"/>
        <w:spacing w:after="160" w:before="280"/>
      </w:pPr>
      <w:r>
        <w:t xml:space="preserve">Annexe d'exercice — refaire ce chapitre dans QualiCode</w:t>
      </w:r>
    </w:p>
    <w:p>
      <w:pPr>
        <w:spacing w:after="100"/>
      </w:pPr>
      <w:r>
        <w:rPr>
          <w:b/>
          <w:bCs/>
          <w:sz w:val="21"/>
          <w:szCs w:val="21"/>
        </w:rPr>
        <w:t xml:space="preserve">Plan — </w:t>
      </w:r>
      <w:r>
        <w:rPr>
          <w:sz w:val="21"/>
          <w:szCs w:val="21"/>
        </w:rPr>
        <w:t xml:space="preserve">Mémos ▸ « Phase 6 — Production du rapport » : le plan et les règles de citation.</w:t>
      </w:r>
    </w:p>
    <w:p>
      <w:pPr>
        <w:spacing w:after="100"/>
      </w:pPr>
      <w:r>
        <w:rPr>
          <w:b/>
          <w:bCs/>
          <w:sz w:val="21"/>
          <w:szCs w:val="21"/>
        </w:rPr>
        <w:t xml:space="preserve">Définitions — </w:t>
      </w:r>
      <w:r>
        <w:rPr>
          <w:sz w:val="21"/>
          <w:szCs w:val="21"/>
        </w:rPr>
        <w:t xml:space="preserve">Mémos ▸ « Phase 5 — Définition et dénomination des thèmes » : ce que chaque thème est, et ce qu'il n'est pas.</w:t>
      </w:r>
    </w:p>
    <w:p>
      <w:pPr>
        <w:spacing w:after="100"/>
      </w:pPr>
      <w:r>
        <w:rPr>
          <w:b/>
          <w:bCs/>
          <w:sz w:val="21"/>
          <w:szCs w:val="21"/>
        </w:rPr>
        <w:t xml:space="preserve">Extraits par thème — </w:t>
      </w:r>
      <w:r>
        <w:rPr>
          <w:sz w:val="21"/>
          <w:szCs w:val="21"/>
        </w:rPr>
        <w:t xml:space="preserve">Requêtes ▸ ouvrir la requête du thème (T1 à T7), puis Rapports ▸ Rapport Word (.docx) : tous les passages, avec leur participant.</w:t>
      </w:r>
    </w:p>
    <w:p>
      <w:pPr>
        <w:spacing w:after="100"/>
      </w:pPr>
      <w:r>
        <w:rPr>
          <w:b/>
          <w:bCs/>
          <w:sz w:val="21"/>
          <w:szCs w:val="21"/>
        </w:rPr>
        <w:t xml:space="preserve">Extraits citables — </w:t>
      </w:r>
      <w:r>
        <w:rPr>
          <w:sz w:val="21"/>
          <w:szCs w:val="21"/>
        </w:rPr>
        <w:t xml:space="preserve">Requêtes ▸ « Extraits citables » : elle exclut l'entretien dont l'auteur a refusé la citation.</w:t>
      </w:r>
    </w:p>
    <w:p>
      <w:pPr>
        <w:spacing w:after="100"/>
      </w:pPr>
      <w:r>
        <w:rPr>
          <w:b/>
          <w:bCs/>
          <w:sz w:val="21"/>
          <w:szCs w:val="21"/>
        </w:rPr>
        <w:t xml:space="preserve">Effectifs — </w:t>
      </w:r>
      <w:r>
        <w:rPr>
          <w:sz w:val="21"/>
          <w:szCs w:val="21"/>
        </w:rPr>
        <w:t xml:space="preserve">Analyse ▸ Matrice codes × documents : le nombre de participants par code, à reporter dans le texte.</w:t>
      </w:r>
    </w:p>
    <w:p>
      <w:pPr>
        <w:spacing w:after="100"/>
      </w:pPr>
      <w:r>
        <w:rPr>
          <w:b/>
          <w:bCs/>
          <w:sz w:val="21"/>
          <w:szCs w:val="21"/>
        </w:rPr>
        <w:t xml:space="preserve">Comparaisons — </w:t>
      </w:r>
      <w:r>
        <w:rPr>
          <w:sz w:val="21"/>
          <w:szCs w:val="21"/>
        </w:rPr>
        <w:t xml:space="preserve">Analyse ▸ Comparaison de groupes, variable « qualification » ou « vague » : les tableaux VI et VII.</w:t>
      </w:r>
    </w:p>
    <w:p>
      <w:pPr>
        <w:spacing w:after="100"/>
      </w:pPr>
      <w:r>
        <w:rPr>
          <w:b/>
          <w:bCs/>
          <w:sz w:val="21"/>
          <w:szCs w:val="21"/>
        </w:rPr>
        <w:t xml:space="preserve">Triangulation — </w:t>
      </w:r>
      <w:r>
        <w:rPr>
          <w:sz w:val="21"/>
          <w:szCs w:val="21"/>
        </w:rPr>
        <w:t xml:space="preserve">Mémos ▸ « Triangulation — ensemble des deux vagues », et les comptes rendus d'observation (code « ÉCART déclaré / constaté »).</w:t>
      </w:r>
    </w:p>
    <w:p/>
    <w:tbl>
      <w:tblPr>
        <w:tblW w:type="dxa" w:w="9026"/>
        <w:tblBorders>
          <w:top w:val="single" w:color="C0392B" w:sz="10"/>
          <w:left w:val="single" w:color="C0392B" w:sz="10"/>
          <w:bottom w:val="single" w:color="C0392B" w:sz="10"/>
          <w:right w:val="single" w:color="C0392B" w:sz="10"/>
          <w:insideH w:val="single" w:color="auto" w:sz="4"/>
          <w:insideV w:val="single" w:color="auto" w:sz="4"/>
        </w:tblBorders>
      </w:tblPr>
      <w:tblGrid>
        <w:gridCol w:w="9026"/>
      </w:tblGrid>
      <w:tr>
        <w:tc>
          <w:tcPr>
            <w:tcW w:type="dxa" w:w="9026"/>
            <w:shd w:fill="FDEDEC" w:color="auto" w:val="clear"/>
            <w:tcMar>
              <w:top w:type="dxa" w:w="120"/>
              <w:left w:type="dxa" w:w="160"/>
              <w:bottom w:type="dxa" w:w="120"/>
              <w:right w:type="dxa" w:w="160"/>
            </w:tcMar>
          </w:tcPr>
          <w:p>
            <w:r>
              <w:rPr>
                <w:b/>
                <w:bCs/>
                <w:color w:val="C0392B"/>
                <w:sz w:val="20"/>
                <w:szCs w:val="20"/>
              </w:rPr>
              <w:t xml:space="preserve">Règle à ne jamais oublier</w:t>
            </w:r>
          </w:p>
          <w:p>
            <w:r>
              <w:rPr>
                <w:sz w:val="19"/>
                <w:szCs w:val="19"/>
              </w:rPr>
              <w:t xml:space="preserve">Un extrait n'est cité que si son auteur l'a accepté ; il n'est jamais associé au code de son centre ni à plus d'une caractéristique (§ 4.2.7). Les propos sur les femmes sont des représentations professionnelles : on les rapporte, on ne les présente pas comme des faits.</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2026-10-03T02:55:39.877Z</dcterms:created>
  <dcterms:modified xsi:type="dcterms:W3CDTF">2026-10-03T02:55:39.877Z</dcterms:modified>
</cp:coreProperties>
</file>

<file path=docProps/custom.xml><?xml version="1.0" encoding="utf-8"?>
<Properties xmlns="http://schemas.openxmlformats.org/officeDocument/2006/custom-properties" xmlns:vt="http://schemas.openxmlformats.org/officeDocument/2006/docPropsVTypes"/>
</file>