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140"/>
        <w:jc w:val="both"/>
      </w:pPr>
      <w:r>
        <w:rPr>
          <w:i w:val="false"/>
          <w:iCs w:val="false"/>
          <w:sz w:val="22"/>
          <w:szCs w:val="22"/>
        </w:rPr>
        <w:t xml:space="preserve">Le dépistage est « coupé en deux » : la tension est mesurée à chaque visite ; la glycémie, prévue pour toutes à la première CPN, relève du laboratoire, n'était effectivement réalisée que dans 5 centres sur 15 et n'est refaite nulle part de façon systématique à 24-28 semaines. L'explication est modulée à l'inverse des besoins (17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w:t>
      </w:r>
    </w:p>
    <w:p>
      <w:pPr>
        <w:spacing w:after="14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Or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a rattaché le glucomètre à la consultation des maladies chroniques. Deux programmes coexistent sans la jonction que la revue jugeait absente</w:t>
      </w:r>
      <w:r>
        <w:rPr>
          <w:sz w:val="22"/>
          <w:szCs w:val="22"/>
        </w:rPr>
        <w:t xml:space="preserve"> [63,64]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concordent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au contraire, la tension a été mesurée chez 93,5 % des femmes suivies dans la province de l'Est selon l'EDS 2025</w:t>
      </w:r>
      <w:r>
        <w:rPr>
          <w:sz w:val="22"/>
          <w:szCs w:val="22"/>
        </w:rPr>
        <w:t xml:space="preserve"> [73]</w:t>
      </w:r>
      <w:r>
        <w:rPr>
          <w:i w:val="false"/>
          <w:iCs w:val="false"/>
          <w:sz w:val="22"/>
          <w:szCs w:val="22"/>
        </w:rPr>
        <w:t xml:space="preserve"> : l'écart entre les deux dépistages tient à l'organisation plus qu'à la règle.</w:t>
      </w:r>
    </w:p>
    <w:p>
      <w:pPr>
        <w:spacing w:after="140"/>
        <w:jc w:val="both"/>
      </w:pPr>
      <w:r>
        <w:rPr>
          <w:i w:val="false"/>
          <w:iCs w:val="false"/>
          <w:sz w:val="22"/>
          <w:szCs w:val="22"/>
        </w:rPr>
        <w:t xml:space="preserve">La règle elle-même n'est pas en cause : le diabète fait partie des affections recherchées chez toutes les femmes à la première CPN et consignées au registre de maternité</w:t>
      </w:r>
      <w:r>
        <w:rPr>
          <w:sz w:val="22"/>
          <w:szCs w:val="22"/>
        </w:rPr>
        <w:t xml:space="preserve"> [74]</w:t>
      </w:r>
      <w:r>
        <w:rPr>
          <w:i w:val="false"/>
          <w:iCs w:val="false"/>
          <w:sz w:val="22"/>
          <w:szCs w:val="22"/>
        </w:rPr>
        <w:t xml:space="preserve">, et cette visite doit avoir lieu avant 12 semaines dans le modèle national à huit contacts, qui prévoit aussi un contact à 26 semaines</w:t>
      </w:r>
      <w:r>
        <w:rPr>
          <w:sz w:val="22"/>
          <w:szCs w:val="22"/>
        </w:rPr>
        <w:t xml:space="preserve"> [75]</w:t>
      </w:r>
      <w:r>
        <w:rPr>
          <w:i w:val="false"/>
          <w:iCs w:val="false"/>
          <w:sz w:val="22"/>
          <w:szCs w:val="22"/>
        </w:rPr>
        <w:t xml:space="preserve">. Deux limites tiennent à l'organisation. La première est matérielle : là où le laboratoire manque de bandelettes ou les réserve aux malades chroniques, même le test de la première CPN n'est pas fait, et la case du registre peut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[76]</w:t>
      </w:r>
      <w:r>
        <w:rPr>
          <w:i w:val="false"/>
          <w:iCs w:val="false"/>
          <w:sz w:val="22"/>
          <w:szCs w:val="22"/>
        </w:rPr>
        <w:t xml:space="preserv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[10,73]</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[77]</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[78]</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[79]</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[80]</w:t>
      </w:r>
      <w:r>
        <w:rPr>
          <w:i w:val="false"/>
          <w:iCs w:val="false"/>
          <w:sz w:val="22"/>
          <w:szCs w:val="22"/>
        </w:rPr>
        <w:t xml:space="preserve"> ; les contre-pratiques décrites rejoignent l'universalisme proportionné</w:t>
      </w:r>
      <w:r>
        <w:rPr>
          <w:sz w:val="22"/>
          <w:szCs w:val="22"/>
        </w:rPr>
        <w:t xml:space="preserve"> [81]</w:t>
      </w:r>
      <w:r>
        <w:rPr>
          <w:i w:val="false"/>
          <w:iCs w:val="false"/>
          <w:sz w:val="22"/>
          <w:szCs w:val="22"/>
        </w:rPr>
        <w:t xml:space="preserve">.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[82]</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14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[83]</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donne à ce mécanisme sa forme rwandaise : il rémunère les centres pour des volumes de services, dont la première CPN précoce et les quatre visites</w:t>
      </w:r>
      <w:r>
        <w:rPr>
          <w:sz w:val="22"/>
          <w:szCs w:val="22"/>
        </w:rPr>
        <w:t xml:space="preserve"> [74]</w:t>
      </w:r>
      <w:r>
        <w:rPr>
          <w:i w:val="false"/>
          <w:iCs w:val="false"/>
          <w:sz w:val="22"/>
          <w:szCs w:val="22"/>
        </w:rPr>
        <w:t xml:space="preserve">, et son évaluation a montré un effet plus net sur les services les mieux payés et les moins exigeants pour le prestataire</w:t>
      </w:r>
      <w:r>
        <w:rPr>
          <w:sz w:val="22"/>
          <w:szCs w:val="22"/>
        </w:rPr>
        <w:t xml:space="preserve"> [84]</w:t>
      </w:r>
      <w:r>
        <w:rPr>
          <w:i w:val="false"/>
          <w:iCs w:val="false"/>
          <w:sz w:val="22"/>
          <w:szCs w:val="22"/>
        </w:rPr>
        <w:t xml:space="preserve">. La détection, enfin, n'a de valeur que si la référence aboutit : les facteurs limitants inventoriés ailleurs</w:t>
      </w:r>
      <w:r>
        <w:rPr>
          <w:sz w:val="22"/>
          <w:szCs w:val="22"/>
        </w:rPr>
        <w:t xml:space="preserve"> [24-26]</w:t>
      </w:r>
      <w:r>
        <w:rPr>
          <w:i w:val="false"/>
          <w:iCs w:val="false"/>
          <w:sz w:val="22"/>
          <w:szCs w:val="22"/>
        </w:rPr>
        <w:t xml:space="preserve"> s'articulent ici en une chaîne — transport, décision du ménage, retour d'information —, dont les animatrices de santé maternelle, chargées dans chaque village de repérer les femmes enceintes et de les orienter vers la CPN</w:t>
      </w:r>
      <w:r>
        <w:rPr>
          <w:sz w:val="22"/>
          <w:szCs w:val="22"/>
        </w:rPr>
        <w:t xml:space="preserve"> [85]</w:t>
      </w:r>
      <w:r>
        <w:rPr>
          <w:i w:val="false"/>
          <w:iCs w:val="false"/>
          <w:sz w:val="22"/>
          <w:szCs w:val="22"/>
        </w:rPr>
        <w:t xml:space="preserve">, assurent parfois le dernier maillon (thème 7), en accord avec les pratiques de référence sous-optimales décrites au Rwanda, où moins de la moitié des prestataires citaient la prééclampsie parmi les motifs de référence urgente</w:t>
      </w:r>
      <w:r>
        <w:rPr>
          <w:sz w:val="22"/>
          <w:szCs w:val="22"/>
        </w:rPr>
        <w:t xml:space="preserve"> [80]</w:t>
      </w:r>
      <w:r>
        <w:rPr>
          <w:i w:val="false"/>
          <w:iCs w:val="false"/>
          <w:sz w:val="22"/>
          <w:szCs w:val="22"/>
        </w:rPr>
        <w:t xml:space="preserve">, alors que 82 % des décès maternels d'un hôpital de référence concernaient des femmes référées, dont 15 % par troubles hypertensifs</w:t>
      </w:r>
      <w:r>
        <w:rPr>
          <w:sz w:val="22"/>
          <w:szCs w:val="22"/>
        </w:rPr>
        <w:t xml:space="preserve"> [86]</w:t>
      </w:r>
      <w:r>
        <w:rPr>
          <w:i w:val="false"/>
          <w:iCs w:val="false"/>
          <w:sz w:val="22"/>
          <w:szCs w:val="22"/>
        </w:rPr>
        <w:t xml:space="preserve">, et le suivi s'interrompt à l'accouchement alors que la grossesse peut révéler ces affections</w:t>
      </w:r>
      <w:r>
        <w:rPr>
          <w:sz w:val="22"/>
          <w:szCs w:val="22"/>
        </w:rPr>
        <w:t xml:space="preserve"> [4,5]</w:t>
      </w:r>
      <w:r>
        <w:rPr>
          <w:i w:val="false"/>
          <w:iCs w:val="false"/>
          <w:sz w:val="22"/>
          <w:szCs w:val="22"/>
        </w:rPr>
        <w:t xml:space="preserve">. Les dispositifs nationaux jouent dans les deux sens : la venue du conjoint attendue à la première CPN retarde des femmes, comme l'avaient décrit Påfs et al.</w:t>
      </w:r>
      <w:r>
        <w:rPr>
          <w:sz w:val="22"/>
          <w:szCs w:val="22"/>
        </w:rPr>
        <w:t xml:space="preserve"> [57]</w:t>
      </w:r>
      <w:r>
        <w:rPr>
          <w:i w:val="false"/>
          <w:iCs w:val="false"/>
          <w:sz w:val="22"/>
          <w:szCs w:val="22"/>
        </w:rPr>
        <w:t xml:space="preserve"> ; les aides ciblées de l'ubudehe — mutuelle prise en charge</w:t>
      </w:r>
      <w:r>
        <w:rPr>
          <w:sz w:val="22"/>
          <w:szCs w:val="22"/>
        </w:rPr>
        <w:t xml:space="preserve"> [61,62]</w:t>
      </w:r>
      <w:r>
        <w:rPr>
          <w:i w:val="false"/>
          <w:iCs w:val="false"/>
          <w:sz w:val="22"/>
          <w:szCs w:val="22"/>
        </w:rPr>
        <w:t xml:space="preserve"> et farine Shisha Kibondo</w:t>
      </w:r>
      <w:r>
        <w:rPr>
          <w:sz w:val="22"/>
          <w:szCs w:val="22"/>
        </w:rPr>
        <w:t xml:space="preserve"> [87]</w:t>
      </w:r>
      <w:r>
        <w:rPr>
          <w:i w:val="false"/>
          <w:iCs w:val="false"/>
          <w:sz w:val="22"/>
          <w:szCs w:val="22"/>
        </w:rPr>
        <w:t xml:space="preserve"> — rapprochent les plus pauvres du service, au risque d'un effet de seuil ; l'alerte téléphonique des ASM a fait progresser les accouchements en établissement</w:t>
      </w:r>
      <w:r>
        <w:rPr>
          <w:sz w:val="22"/>
          <w:szCs w:val="22"/>
        </w:rPr>
        <w:t xml:space="preserve"> [88]</w:t>
      </w:r>
      <w:r>
        <w:rPr>
          <w:i w:val="false"/>
          <w:iCs w:val="false"/>
          <w:sz w:val="22"/>
          <w:szCs w:val="22"/>
        </w:rPr>
        <w:t xml:space="preserve"> mais reste un outil d'urgence ; et les campagnes de dépistage des maladies non transmissibles, qui révèlent beaucoup d'hypertensions ignorées</w:t>
      </w:r>
      <w:r>
        <w:rPr>
          <w:sz w:val="22"/>
          <w:szCs w:val="22"/>
        </w:rPr>
        <w:t xml:space="preserve"> [89]</w:t>
      </w:r>
      <w:r>
        <w:rPr>
          <w:i w:val="false"/>
          <w:iCs w:val="false"/>
          <w:sz w:val="22"/>
          <w:szCs w:val="22"/>
        </w:rPr>
        <w:t xml:space="preserve">, ne sont pas reliées à la CPN. À l'inverse, l'umugoroba w'ababyeyi, forum villageois des parents déjà mobilisé pour l'éducation nutritionnelle</w:t>
      </w:r>
      <w:r>
        <w:rPr>
          <w:sz w:val="22"/>
          <w:szCs w:val="22"/>
        </w:rPr>
        <w:t xml:space="preserve"> [90]</w:t>
      </w:r>
      <w:r>
        <w:rPr>
          <w:i w:val="false"/>
          <w:iCs w:val="false"/>
          <w:sz w:val="22"/>
          <w:szCs w:val="22"/>
        </w:rPr>
        <w:t xml:space="preserve">, offrirait un relais vers les maris et les familles, que la séance du centre n'atteint pas.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14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140"/>
        <w:jc w:val="both"/>
      </w:pPr>
      <w:r>
        <w:rPr>
          <w:i w:val="false"/>
          <w:iCs w:val="false"/>
          <w:sz w:val="22"/>
          <w:szCs w:val="22"/>
        </w:rPr>
        <w:t xml:space="preserve">Sur les 88 codes de l'arbre final, 41 sont nés du matériau. Ils ne remettent pas en cause les deux ensembles du cadre, mais appellent trois révisions (tableau VIII),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le dispositif de contrôle comme condition systémique ; une articulation communautaire ; et trois dimensions de l'équité d'accès — au test, à l'explication, à la continuité.</w:t>
      </w:r>
    </w:p>
    <w:p>
      <w:pPr>
        <w:keepNext/>
        <w:pageBreakBefore/>
        <w:spacing w:after="60" w:before="0" w:line="240" w:lineRule="auto"/>
        <w:jc w:val="center"/>
      </w:pPr>
      <w:r>
        <w:drawing>
          <wp:inline distT="0" distB="0" distL="0" distR="0">
            <wp:extent cx="4953000" cy="758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5819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VIII et des observations.</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l'intrant accessible à la CPN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glycémie unique à la première CPN,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(κ = 0,869 ; intra-codeur κ = 0,958)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 leur formulation exacte n'est pas garantie, ce que la vérification des interprétations auprès des participants atténue. L'observation est exposée à un effet de présence</w:t>
      </w:r>
      <w:r>
        <w:rPr>
          <w:sz w:val="22"/>
          <w:szCs w:val="22"/>
        </w:rPr>
        <w:t xml:space="preserve"> [91]</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et l'étude, limitée à un district, ne se généralise pas. Les perspectives et suggestions sont présentées en conclusion.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74.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75.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76.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77.	Tudor Hart J. The inverse care law. Lancet. 1971;1(7696):405-12.</w:t>
      </w:r>
    </w:p>
    <w:p>
      <w:pPr>
        <w:spacing w:after="80"/>
        <w:ind w:left="567" w:hanging="567"/>
      </w:pPr>
      <w:r>
        <w:rPr>
          <w:sz w:val="20"/>
          <w:szCs w:val="20"/>
        </w:rPr>
        <w:t xml:space="preserve">78.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79.	Lipsky M. Street-level bureaucracy: dilemmas of the individual in public services. New York: Russell Sage Foundation; 1980.</w:t>
      </w:r>
    </w:p>
    <w:p>
      <w:pPr>
        <w:spacing w:after="80"/>
        <w:ind w:left="567" w:hanging="567"/>
      </w:pPr>
      <w:r>
        <w:rPr>
          <w:sz w:val="20"/>
          <w:szCs w:val="20"/>
        </w:rPr>
        <w:t xml:space="preserve">80.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81.	Marmot M, Allen J, Goldblatt P, Boyce T, McNeish D, Grady M, et al. Fair society, healthy lives: the Marmot Review. London: The Marmot Review; 2010.</w:t>
      </w:r>
    </w:p>
    <w:p>
      <w:pPr>
        <w:spacing w:after="80"/>
        <w:ind w:left="567" w:hanging="567"/>
      </w:pPr>
      <w:r>
        <w:rPr>
          <w:sz w:val="20"/>
          <w:szCs w:val="20"/>
        </w:rPr>
        <w:t xml:space="preserve">82.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83.	Campbell DT. Assessing the impact of planned social change. Eval Program Plann. 1979;2(1):67-90.</w:t>
      </w:r>
    </w:p>
    <w:p>
      <w:pPr>
        <w:spacing w:after="80"/>
        <w:ind w:left="567" w:hanging="567"/>
      </w:pPr>
      <w:r>
        <w:rPr>
          <w:sz w:val="20"/>
          <w:szCs w:val="20"/>
        </w:rPr>
        <w:t xml:space="preserve">84.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85.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86.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87.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88.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89.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90.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91.	McCambridge J, Witton J, Elbourne DR. Systematic review of the Hawthorne effect: new concepts are needed to study research participation effects. J Clin Epidemiol. 2014;67(3):267-77.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2d8e22b70f07680fff21642fd98b23064b1a39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2026-10-03T02:55:40.169Z</dcterms:created>
  <dcterms:modified xsi:type="dcterms:W3CDTF">2026-10-03T02:55:40.169Z</dcterms:modified>
</cp:coreProperties>
</file>

<file path=docProps/custom.xml><?xml version="1.0" encoding="utf-8"?>
<Properties xmlns="http://schemas.openxmlformats.org/officeDocument/2006/custom-properties" xmlns:vt="http://schemas.openxmlformats.org/officeDocument/2006/docPropsVTypes"/>
</file>