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 : les tableaux I à III figurent au chapitre 4 (Cadre et méthodes). Les annexes citées sont celles du mémoire.</w:t>
      </w:r>
    </w:p>
    <w:p>
      <w:pPr>
        <w:pStyle w:val="Heading1"/>
        <w:spacing w:before="280" w:after="160"/>
        <w:rPr/>
      </w:pPr>
      <w:r>
        <w:rPr/>
        <w:t>5. RÉSULTATS</w:t>
      </w:r>
    </w:p>
    <w:p>
      <w:pPr>
        <w:pStyle w:val="Normal"/>
        <w:spacing w:before="0" w:after="8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80"/>
        <w:jc w:val="both"/>
        <w:rPr/>
      </w:pPr>
      <w:r>
        <w:rPr>
          <w:i w:val="false"/>
          <w:iCs w:val="false"/>
        </w:rPr>
        <w:t>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before="220" w:after="120"/>
        <w:rPr/>
      </w:pPr>
      <w:r>
        <w:rPr/>
        <w:t>5.1. Caractéristiques des participants et des centres</w:t>
      </w:r>
    </w:p>
    <w:p>
      <w:pPr>
        <w:pStyle w:val="Normal"/>
        <w:spacing w:before="0" w:after="8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du laboratoire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 état : 13 ; en panne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propre à la CPN (urgences)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(demandée en CPN, faite au laboratoire) le jour de l'observation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faite à toutes : 8 ; non faite : rupture de bandelettes : 3 ; non faite : glucomètre en panne : 2 ; non faite : laborantin absent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de glycémie (trois derniers mois)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Test manqué noté pour être refait</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2 ; non : 13</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80"/>
        <w:jc w:val="both"/>
        <w:rPr/>
      </w:pPr>
      <w:r>
        <w:rPr>
          <w:i w:val="false"/>
          <w:iCs w:val="false"/>
        </w:rPr>
        <w:t>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8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before="180" w:after="100"/>
        <w:rPr/>
      </w:pPr>
      <w:r>
        <w:rPr/>
        <w:t>5.2.2. Thème 1 — Un test pour toutes, sauf les jours où il manque quelque chose</w:t>
      </w:r>
    </w:p>
    <w:p>
      <w:pPr>
        <w:pStyle w:val="Normal"/>
        <w:spacing w:before="0" w:after="80"/>
        <w:jc w:val="both"/>
        <w:rPr/>
      </w:pPr>
      <w:r>
        <w:rPr>
          <w:i w:val="false"/>
          <w:iCs w:val="false"/>
        </w:rPr>
        <w:t>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pStyle w:val="Normal"/>
        <w:spacing w:before="0" w:after="80"/>
        <w:jc w:val="both"/>
        <w:rPr/>
      </w:pPr>
      <w:r>
        <w:rPr>
          <w:i w:val="false"/>
          <w:iCs w:val="false"/>
        </w:rPr>
        <w:t>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pStyle w:val="Normal"/>
        <w:spacing w:lineRule="auto" w:line="240" w:before="60" w:after="40"/>
        <w:ind w:left="567" w:right="567"/>
        <w:jc w:val="both"/>
        <w:rPr>
          <w:sz w:val="24"/>
          <w:szCs w:val="24"/>
        </w:rPr>
      </w:pPr>
      <w:r>
        <w:rPr>
          <w:i/>
          <w:iCs/>
          <w:sz w:val="24"/>
          <w:szCs w:val="24"/>
        </w:rPr>
        <w:t>« Mais le laboratoire ne prélève plus après midi. Celle qui arrive tard, ou qui attend trop longtemps chez nous, trouve un laboratoire qui ne reçoit plus personne pour les prélèvements ; la case du sucre reste vide, et personne ne la rappelle.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80"/>
        <w:jc w:val="both"/>
        <w:rPr/>
      </w:pPr>
      <w:r>
        <w:rPr>
          <w:i w:val="false"/>
          <w:iCs w:val="false"/>
        </w:rPr>
        <w:t>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Normal"/>
        <w:spacing w:before="0" w:after="80"/>
        <w:jc w:val="both"/>
        <w:rPr/>
      </w:pPr>
      <w:r>
        <w:rPr>
          <w:i w:val="false"/>
          <w:iCs w:val="false"/>
        </w:rPr>
        <w:t>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before="180" w:after="100"/>
        <w:rPr/>
      </w:pPr>
      <w:r>
        <w:rPr/>
        <w:t>5.2.3. Thème 2 — Expliquer moins à celles qui savent le moins</w:t>
      </w:r>
    </w:p>
    <w:p>
      <w:pPr>
        <w:pStyle w:val="Normal"/>
        <w:spacing w:before="0" w:after="8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8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8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before="0" w:after="8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8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8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80"/>
        <w:jc w:val="both"/>
        <w:rPr/>
      </w:pPr>
      <w:r>
        <w:rPr>
          <w:i w:val="false"/>
          <w:iCs w:val="false"/>
        </w:rPr>
        <w:t>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before="180" w:after="100"/>
        <w:rPr/>
      </w:pPr>
      <w:r>
        <w:rPr/>
        <w:t>5.3.4. Thème 3 — Trouver sans pouvoir suivre</w:t>
      </w:r>
    </w:p>
    <w:p>
      <w:pPr>
        <w:pStyle w:val="Normal"/>
        <w:spacing w:before="0" w:after="80"/>
        <w:jc w:val="both"/>
        <w:rPr/>
      </w:pPr>
      <w:r>
        <w:rPr>
          <w:i w:val="false"/>
          <w:iCs w:val="false"/>
        </w:rPr>
        <w:t>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pStyle w:val="Normal"/>
        <w:spacing w:before="0" w:after="80"/>
        <w:jc w:val="both"/>
        <w:rPr/>
      </w:pPr>
      <w:r>
        <w:rPr>
          <w:i w:val="false"/>
          <w:iCs w:val="false"/>
        </w:rPr>
        <w:t>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pStyle w:val="Normal"/>
        <w:spacing w:lineRule="auto" w:line="240" w:before="60" w:after="40"/>
        <w:ind w:left="567" w:right="567"/>
        <w:jc w:val="both"/>
        <w:rPr>
          <w:sz w:val="24"/>
          <w:szCs w:val="24"/>
        </w:rPr>
      </w:pPr>
      <w:r>
        <w:rPr>
          <w:i/>
          <w:iCs/>
          <w:sz w:val="24"/>
          <w:szCs w:val="24"/>
        </w:rPr>
        <w:t>« Mais ce sont des femmes de fonctionnaires ou de commerçants ; la femme qui cultive ne le pourra jamais, et c'est elle qui habite le plus loin.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5.3.5. Conditions sociales perçues</w:t>
      </w:r>
    </w:p>
    <w:p>
      <w:pPr>
        <w:pStyle w:val="Normal"/>
        <w:spacing w:before="0" w:after="80"/>
        <w:jc w:val="both"/>
        <w:rPr/>
      </w:pPr>
      <w:r>
        <w:rPr>
          <w:i w:val="false"/>
          <w:iCs w:val="false"/>
        </w:rPr>
        <w:t>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before="180" w:after="100"/>
        <w:rPr/>
      </w:pPr>
      <w:r>
        <w:rPr/>
        <w:t>5.3.6. Thème 6 — Le registre comme écran</w:t>
      </w:r>
    </w:p>
    <w:p>
      <w:pPr>
        <w:pStyle w:val="Normal"/>
        <w:spacing w:before="0" w:after="8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8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80"/>
        <w:jc w:val="both"/>
        <w:rPr/>
      </w:pPr>
      <w:r>
        <w:rPr>
          <w:i w:val="false"/>
          <w:iCs w:val="false"/>
        </w:rPr>
        <w:t>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pStyle w:val="Normal"/>
        <w:spacing w:before="0" w:after="80"/>
        <w:jc w:val="both"/>
        <w:rPr/>
      </w:pPr>
      <w:r>
        <w:rPr>
          <w:i w:val="false"/>
          <w:iCs w:val="false"/>
        </w:rPr>
        <w:t>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before="220" w:after="120"/>
        <w:rPr/>
      </w:pPr>
      <w:r>
        <w:rPr/>
        <w:t>5.5. Triangulation et synthèse</w:t>
      </w:r>
    </w:p>
    <w:p>
      <w:pPr>
        <w:pStyle w:val="Normal"/>
        <w:spacing w:before="0" w:after="80"/>
        <w:jc w:val="both"/>
        <w:rPr/>
      </w:pPr>
      <w:r>
        <w:rPr>
          <w:i w:val="false"/>
          <w:iCs w:val="false"/>
        </w:rPr>
        <w:t>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pStyle w:val="Normal"/>
        <w:spacing w:before="0" w:after="80"/>
        <w:jc w:val="both"/>
        <w:rPr/>
      </w:pPr>
      <w:r>
        <w:rPr>
          <w:i w:val="false"/>
          <w:iCs w:val="false"/>
        </w:rPr>
        <w:t>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pStyle w:val="Normal"/>
        <w:keepNext w:val="true"/>
        <w:spacing w:before="200" w:after="80"/>
        <w:rPr/>
      </w:pPr>
      <w:r>
        <w:rPr>
          <w:b/>
          <w:bCs/>
        </w:rPr>
        <w:t>Tableau VI.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10</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2026-10-03T08:26:54Z</dcterms:created>
  <dc:creator>Un-named</dc:creator>
  <dc:description/>
  <dc:language>en-US</dc:language>
  <cp:lastModifiedBy>Un-named</cp:lastModifiedBy>
  <dcterms:modified xsi:type="dcterms:W3CDTF">2026-10-03T08:26:54Z</dcterms:modified>
  <cp:revision>1</cp:revision>
  <dc:subject/>
  <dc:title/>
</cp:coreProperties>
</file>