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rPr>
        <w:t>UNIVERSITÉ DE PARAKOU — ENATSE</w:t>
      </w:r>
    </w:p>
    <w:p>
      <w:pPr>
        <w:pStyle w:val="Normal"/>
        <w:spacing w:before="0" w:after="300"/>
        <w:jc w:val="center"/>
        <w:rPr/>
      </w:pPr>
      <w:r>
        <w:rPr/>
        <w:t>Master en Santé publique — Promotion de la santé</w:t>
      </w:r>
    </w:p>
    <w:p>
      <w:pPr>
        <w:pStyle w:val="Normal"/>
        <w:spacing w:before="0" w:after="240"/>
        <w:jc w:val="center"/>
        <w:rPr/>
      </w:pPr>
      <w:r>
        <w:rPr>
          <w:i/>
          <w:iCs/>
        </w:rPr>
        <w:t>L'équité d'accès au dépistage capacitant de l'hypertension artérielle et du diabète en consultation prénatale : perceptions et pratiques déclarées des infirmiers et sages-femmes de Ngoma (Rwanda)</w:t>
      </w:r>
    </w:p>
    <w:p>
      <w:pPr>
        <w:pStyle w:val="Normal"/>
        <w:spacing w:before="200" w:after="200"/>
        <w:jc w:val="center"/>
        <w:rPr/>
      </w:pPr>
      <w:r>
        <w:rPr>
          <w:b/>
          <w:bCs/>
        </w:rPr>
        <w:t>Rapport de mémoire</w:t>
      </w:r>
    </w:p>
    <w:p>
      <w:pPr>
        <w:pStyle w:val="Normal"/>
        <w:rPr/>
      </w:pPr>
      <w:r>
        <w:rPr/>
      </w:r>
    </w:p>
    <w:p>
      <w:pPr>
        <w:pStyle w:val="Normal"/>
        <w:spacing w:before="60" w:after="60"/>
        <w:jc w:val="center"/>
        <w:rPr/>
      </w:pPr>
      <w:r>
        <w:rPr>
          <w:i/>
          <w:iCs/>
        </w:rPr>
        <w:t>Version d'entraînement — entretiens et observations fictifs, à remplacer par les données du terrain</w:t>
      </w:r>
    </w:p>
    <w:p>
      <w:pPr>
        <w:pStyle w:val="Normal"/>
        <w:rPr/>
      </w:pPr>
      <w:r>
        <w:rPr/>
      </w:r>
    </w:p>
    <w:p>
      <w:pPr>
        <w:pStyle w:val="Normal"/>
        <w:spacing w:before="0" w:after="80"/>
        <w:rPr/>
      </w:pPr>
      <w:r>
        <w:rPr/>
        <w:t>Synthèse du mémoire à l'intention des lecteurs qui ne liront pas le document entier : direction de mémoire, direction de la santé du district, responsables des centres participants.</w:t>
      </w:r>
    </w:p>
    <w:p>
      <w:pPr>
        <w:pStyle w:val="Normal"/>
        <w:spacing w:before="0" w:after="80"/>
        <w:rPr/>
      </w:pPr>
      <w:r>
        <w:rPr/>
      </w:r>
    </w:p>
    <w:p>
      <w:pPr>
        <w:pStyle w:val="Normal"/>
        <w:spacing w:before="0" w:after="80"/>
        <w:rPr/>
      </w:pPr>
      <w:r>
        <w:rPr/>
        <w:t>Les chiffres sont calculés à partir du projet d'analyse ; les thèmes, les citations et les recommandations sont ceux des chapitres 5 et 6. Les références sont numérotées dans l'ordre de leur première citation (Vancouver).</w:t>
      </w:r>
    </w:p>
    <w:p>
      <w:pPr>
        <w:pStyle w:val="Normal"/>
        <w:rPr/>
      </w:pPr>
      <w:r>
        <w:rPr/>
      </w:r>
    </w:p>
    <w:tbl>
      <w:tblPr>
        <w:tblW w:w="8787" w:type="dxa"/>
        <w:jc w:val="left"/>
        <w:tblInd w:w="0" w:type="dxa"/>
        <w:tblLayout w:type="fixed"/>
        <w:tblCellMar>
          <w:top w:w="60" w:type="dxa"/>
          <w:left w:w="100" w:type="dxa"/>
          <w:bottom w:w="60" w:type="dxa"/>
          <w:right w:w="100" w:type="dxa"/>
        </w:tblCellMar>
      </w:tblPr>
      <w:tblGrid>
        <w:gridCol w:w="2335"/>
        <w:gridCol w:w="6451"/>
      </w:tblGrid>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Chercheur</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MUKAKI DUNIA Jacques</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Institution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ENATSE, Université de Parakou (Bénin) — Master en Santé publique, Promotion de la santé</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Professeure N. Fanny M. HOUNKPONOU AHOUINGNAN</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Période de collecte</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11 août – 30 septembre 2026 (période prévue au protocole, § 4.2.5.3)</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Échantillon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10 infirmiers ou infirmières et 10 sages-femmes, 15 centres de santé, en deux vagues</w:t>
            </w:r>
          </w:p>
        </w:tc>
      </w:tr>
    </w:tbl>
    <w:p>
      <w:pPr>
        <w:pStyle w:val="Normal"/>
        <w:rPr/>
      </w:pPr>
      <w:r>
        <w:rPr/>
      </w:r>
      <w:r>
        <w:br w:type="page"/>
      </w:r>
    </w:p>
    <w:p>
      <w:pPr>
        <w:pStyle w:val="Heading1"/>
        <w:spacing w:before="0" w:after="160"/>
        <w:rPr/>
      </w:pPr>
      <w:r>
        <w:rPr/>
        <w:t>MESSAGES CLÉS</w:t>
      </w:r>
    </w:p>
    <w:p>
      <w:pPr>
        <w:pStyle w:val="ListParagraph"/>
        <w:numPr>
          <w:ilvl w:val="0"/>
          <w:numId w:val="3"/>
        </w:numPr>
        <w:spacing w:before="0" w:after="80"/>
        <w:jc w:val="both"/>
        <w:rPr/>
      </w:pPr>
      <w:r>
        <w:rPr>
          <w:i w:val="false"/>
          <w:iCs w:val="false"/>
        </w:rPr>
        <w:t>Un test pour toutes, sauf les jours où il manque quelque chose. La glycémie, demandée par la CPN pour toutes à la première visite, est faite au laboratoire ; elle saute les jours de rupture de bandelettes, de panne ou d'absence du laborantin : le jour de l'observation, elle n'était faite que dans 8 centres sur 15. La femme manquée n'est rattrapée que dans 2 centres, et aucun ne refait le test entre 24 et 28 semaines.</w:t>
      </w:r>
    </w:p>
    <w:p>
      <w:pPr>
        <w:pStyle w:val="ListParagraph"/>
        <w:numPr>
          <w:ilvl w:val="0"/>
          <w:numId w:val="1"/>
        </w:numPr>
        <w:spacing w:before="0" w:after="80"/>
        <w:jc w:val="both"/>
        <w:rPr/>
      </w:pPr>
      <w:r>
        <w:rPr>
          <w:i w:val="false"/>
          <w:iCs w:val="false"/>
        </w:rPr>
        <w:t>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before="0" w:after="80"/>
        <w:jc w:val="both"/>
        <w:rPr/>
      </w:pPr>
      <w:r>
        <w:rPr>
          <w:i w:val="false"/>
          <w:iCs w:val="false"/>
        </w:rPr>
        <w:t>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before="0" w:after="80"/>
        <w:jc w:val="both"/>
        <w:rPr/>
      </w:pPr>
      <w:r>
        <w:rPr>
          <w:i w:val="false"/>
          <w:iCs w:val="false"/>
        </w:rPr>
        <w:t>La référence dépend d'un véhicule et revient rarement ; le suivi s'interrompt à l'accouchement. Après le diagnostic, seules les femmes des ménages aisés s'achètent un tensiomètre ou un glucomètre pour se surveiller chez elles. L'attente du conjoint pour la première CPN retarde la glycémie ; l'alerte téléphonique des ASM organise l'urgence, pas le contrôle d'une tension élevée.</w:t>
      </w:r>
    </w:p>
    <w:p>
      <w:pPr>
        <w:pStyle w:val="ListParagraph"/>
        <w:numPr>
          <w:ilvl w:val="0"/>
          <w:numId w:val="1"/>
        </w:numPr>
        <w:spacing w:before="0" w:after="80"/>
        <w:jc w:val="both"/>
        <w:rPr/>
      </w:pPr>
      <w:r>
        <w:rPr>
          <w:i w:val="false"/>
          <w:iCs w:val="false"/>
        </w:rPr>
        <w:t>Les participants jugent ces différences inacceptables, reconnaissent une part qui leur revient et proposent des changements concrets : bandelettes sans rupture, laborantin remplacé, glucomètre d'urgence en CPN, liste des femmes à retester, ligne dans le rapport mensuel.</w:t>
      </w:r>
    </w:p>
    <w:p>
      <w:pPr>
        <w:pStyle w:val="Heading1"/>
        <w:spacing w:before="280" w:after="160"/>
        <w:rPr/>
      </w:pPr>
      <w:r>
        <w:rPr/>
        <w:t>1. CONTEXTE ET JUSTIFICATION</w:t>
      </w:r>
    </w:p>
    <w:p>
      <w:pPr>
        <w:pStyle w:val="Normal"/>
        <w:spacing w:before="0" w:after="80"/>
        <w:jc w:val="both"/>
        <w:rPr/>
      </w:pPr>
      <w:r>
        <w:rPr>
          <w:i w:val="false"/>
          <w:iCs w:val="false"/>
        </w:rPr>
        <w:t>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Le Rwanda a adopté le paquet d'interventions essentielles de l'OMS contre les maladies non transmissibles</w:t>
      </w:r>
      <w:r>
        <w:rPr/>
        <w:t xml:space="preserve"> [2]</w:t>
      </w:r>
      <w:r>
        <w:rPr>
          <w:i w:val="false"/>
          <w:iCs w:val="false"/>
        </w:rPr>
        <w:t>.</w:t>
      </w:r>
    </w:p>
    <w:p>
      <w:pPr>
        <w:pStyle w:val="Normal"/>
        <w:spacing w:before="0" w:after="80"/>
        <w:jc w:val="both"/>
        <w:rPr/>
      </w:pPr>
      <w:r>
        <w:rPr>
          <w:i w:val="false"/>
          <w:iCs w:val="false"/>
        </w:rPr>
        <w:t>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[5]</w:t>
      </w:r>
      <w:r>
        <w:rPr>
          <w:i w:val="false"/>
          <w:iCs w:val="false"/>
        </w:rPr>
        <w:t>.</w:t>
      </w:r>
    </w:p>
    <w:p>
      <w:pPr>
        <w:pStyle w:val="Normal"/>
        <w:spacing w:before="0" w:after="80"/>
        <w:jc w:val="both"/>
        <w:rPr/>
      </w:pPr>
      <w:r>
        <w:rPr>
          <w:i w:val="false"/>
          <w:iCs w:val="false"/>
        </w:rPr>
        <w:t>Au regard de la Charte d'Ottawa</w:t>
      </w:r>
      <w:r>
        <w:rPr/>
        <w:t xml:space="preserve"> [6]</w:t>
      </w:r>
      <w:r>
        <w:rPr>
          <w:i w:val="false"/>
          <w:iCs w:val="false"/>
        </w:rPr>
        <w:t>,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before="280" w:after="160"/>
        <w:rPr/>
      </w:pPr>
      <w:r>
        <w:rPr/>
        <w:t>2. OBJECTIFS</w:t>
      </w:r>
    </w:p>
    <w:p>
      <w:pPr>
        <w:pStyle w:val="Normal"/>
        <w:spacing w:before="0" w:after="80"/>
        <w:jc w:val="both"/>
        <w:rPr/>
      </w:pPr>
      <w:r>
        <w:rPr>
          <w:i w:val="false"/>
          <w:iCs w:val="false"/>
        </w:rPr>
        <w:t>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before="0" w:after="80"/>
        <w:jc w:val="both"/>
        <w:rPr/>
      </w:pPr>
      <w:r>
        <w:rPr>
          <w:i w:val="false"/>
          <w:iCs w:val="false"/>
        </w:rPr>
        <w:t>Objectif spécifique 1 (OS1) : décrire le sens attribué à ce dépistage ainsi que les pratiques déclarées de dépistage et d'information capacitante auprès des femmes enceintes.</w:t>
      </w:r>
    </w:p>
    <w:p>
      <w:pPr>
        <w:pStyle w:val="ListParagraph"/>
        <w:numPr>
          <w:ilvl w:val="0"/>
          <w:numId w:val="1"/>
        </w:numPr>
        <w:spacing w:before="0" w:after="80"/>
        <w:jc w:val="both"/>
        <w:rPr/>
      </w:pPr>
      <w:r>
        <w:rPr>
          <w:i w:val="false"/>
          <w:iCs w:val="false"/>
        </w:rPr>
        <w:t>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before="280" w:after="160"/>
        <w:rPr/>
      </w:pPr>
      <w:r>
        <w:rPr/>
        <w:t>3. MÉTHODES</w:t>
      </w:r>
    </w:p>
    <w:p>
      <w:pPr>
        <w:pStyle w:val="Normal"/>
        <w:keepNext w:val="true"/>
        <w:spacing w:before="200" w:after="80"/>
        <w:rPr/>
      </w:pPr>
      <w:r>
        <w:rPr>
          <w:b/>
          <w:bCs/>
        </w:rPr>
        <w:t>Tableau 1. Méthodes en bref</w:t>
      </w:r>
    </w:p>
    <w:tbl>
      <w:tblPr>
        <w:tblW w:w="8787" w:type="dxa"/>
        <w:jc w:val="left"/>
        <w:tblInd w:w="0" w:type="dxa"/>
        <w:tblLayout w:type="fixed"/>
        <w:tblCellMar>
          <w:top w:w="60" w:type="dxa"/>
          <w:left w:w="100" w:type="dxa"/>
          <w:bottom w:w="60" w:type="dxa"/>
          <w:right w:w="100" w:type="dxa"/>
        </w:tblCellMar>
      </w:tblPr>
      <w:tblGrid>
        <w:gridCol w:w="2142"/>
        <w:gridCol w:w="6644"/>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Élément</w:t>
            </w:r>
          </w:p>
        </w:tc>
        <w:tc>
          <w:tcPr>
            <w:tcW w:w="664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Description</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Type d'étude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Qualitative descriptive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Cadre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District de Ngoma (Province de l'Est) : 15 des 16 centres de santé, le seizième ayant servi au pré-test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Participants</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Vingt prestataires de CPN (10 infirmiers ou infirmières, 10 sages-femmes, dont 5 titulaires), échantillonnage à variation maximale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Collecte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Entretiens semi-structurés (38 à 61 minutes) ; observation non participante d'une demi-journée par centre, service de CPN ; données de routine du district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 thématique en six phases, codage hybride (déductif à partir du cadre conceptuel, inductif)</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Rigueur</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Double codage à l'aveugle de 3 entretiens sur 20 (κ de Cohen par paragraphe = 0,850) et recodage intra-codeur à quatre semaines (κ = 0,955), désaccords tranchés en consensus ; triangulation des sources ; retour des interprétations à des participants volontaires ; grille COREQ</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Éthique</w:t>
            </w:r>
          </w:p>
        </w:tc>
        <w:tc>
          <w:tcPr>
            <w:tcW w:w="664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Consentement écrit ; accord distinct pour la citation ; entretiens notés, sans enregistrement ; codes de participant et de centre jamais associés ; approbation éthique et autorisation du district [références à compléter]</w:t>
            </w:r>
          </w:p>
        </w:tc>
      </w:tr>
    </w:tbl>
    <w:p>
      <w:pPr>
        <w:pStyle w:val="Normal"/>
        <w:spacing w:before="60" w:after="200"/>
        <w:rPr>
          <w:sz w:val="22"/>
          <w:szCs w:val="22"/>
        </w:rPr>
      </w:pPr>
      <w:r>
        <w:rPr>
          <w:i/>
          <w:iCs/>
          <w:sz w:val="22"/>
          <w:szCs w:val="22"/>
        </w:rPr>
        <w:t>Source : chapitre 4 du mémoire.</w:t>
      </w:r>
    </w:p>
    <w:p>
      <w:pPr>
        <w:pStyle w:val="Heading1"/>
        <w:spacing w:before="280" w:after="160"/>
        <w:rPr/>
      </w:pPr>
      <w:r>
        <w:rPr/>
        <w:t>4. PRINCIPAUX RÉSULTATS</w:t>
      </w:r>
    </w:p>
    <w:p>
      <w:pPr>
        <w:pStyle w:val="Heading2"/>
        <w:spacing w:before="220" w:after="120"/>
        <w:rPr/>
      </w:pPr>
      <w:r>
        <w:rPr/>
        <w:t>4.1. Un test pour toutes, interrompu par les ruptures, les pannes et l'absence du laborantin</w:t>
      </w:r>
    </w:p>
    <w:p>
      <w:pPr>
        <w:pStyle w:val="Normal"/>
        <w:spacing w:before="0" w:after="80"/>
        <w:jc w:val="both"/>
        <w:rPr/>
      </w:pPr>
      <w:r>
        <w:rPr>
          <w:i w:val="false"/>
          <w:iCs w:val="false"/>
        </w:rPr>
        <w:t>Dans les 15 centres, la CPN demande la glycémie pour toutes à la première visite et le laboratoire la réalise ; 6 services de CPN ont un glucomètre pour les urgences. Le jour de l'observation, le test n'était pas fait partout (tableau 2).</w:t>
      </w:r>
    </w:p>
    <w:p>
      <w:pPr>
        <w:pStyle w:val="Normal"/>
        <w:keepNext w:val="true"/>
        <w:spacing w:before="200" w:after="80"/>
        <w:rPr/>
      </w:pPr>
      <w:r>
        <w:rPr>
          <w:b/>
          <w:bCs/>
        </w:rPr>
        <w:t>Tableau 2. Glycémie de la première CPN, le jour de l'observation</w:t>
      </w:r>
    </w:p>
    <w:tbl>
      <w:tblPr>
        <w:tblW w:w="8787" w:type="dxa"/>
        <w:jc w:val="left"/>
        <w:tblInd w:w="0" w:type="dxa"/>
        <w:tblLayout w:type="fixed"/>
        <w:tblCellMar>
          <w:top w:w="60" w:type="dxa"/>
          <w:left w:w="100" w:type="dxa"/>
          <w:bottom w:w="60" w:type="dxa"/>
          <w:right w:w="100" w:type="dxa"/>
        </w:tblCellMar>
      </w:tblPr>
      <w:tblGrid>
        <w:gridCol w:w="6839"/>
        <w:gridCol w:w="1947"/>
      </w:tblGrid>
      <w:tr>
        <w:trPr>
          <w:tblHeader w:val="true"/>
        </w:trPr>
        <w:tc>
          <w:tcPr>
            <w:tcW w:w="683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Situation observée</w:t>
            </w:r>
          </w:p>
        </w:tc>
        <w:tc>
          <w:tcPr>
            <w:tcW w:w="194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Centres</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faite à toutes les femmes de première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8</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rupture de bandelettes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3</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glucomètre du laboratoire en panne</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laborantin absent</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Total</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15</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Rupture de bandelettes au cours des trois derniers mois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Test manqué noté pour être refait au rendez-vous suivant</w:t>
            </w:r>
          </w:p>
        </w:tc>
        <w:tc>
          <w:tcPr>
            <w:tcW w:w="1947"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2</w:t>
            </w:r>
          </w:p>
        </w:tc>
      </w:tr>
    </w:tbl>
    <w:p>
      <w:pPr>
        <w:pStyle w:val="Normal"/>
        <w:spacing w:before="60" w:after="200"/>
        <w:rPr>
          <w:sz w:val="22"/>
          <w:szCs w:val="22"/>
        </w:rPr>
      </w:pPr>
      <w:r>
        <w:rPr>
          <w:i/>
          <w:iCs/>
          <w:sz w:val="22"/>
          <w:szCs w:val="22"/>
        </w:rPr>
        <w:t>Source : observation non participante des services de CPN et des laboratoires.</w:t>
      </w:r>
    </w:p>
    <w:p>
      <w:pPr>
        <w:pStyle w:val="Normal"/>
        <w:spacing w:lineRule="auto" w:line="240" w:before="60" w:after="40"/>
        <w:ind w:left="567" w:right="567"/>
        <w:jc w:val="both"/>
        <w:rPr>
          <w:sz w:val="24"/>
          <w:szCs w:val="24"/>
        </w:rPr>
      </w:pPr>
      <w:r>
        <w:rPr>
          <w:i/>
          <w:iCs/>
          <w:sz w:val="24"/>
          <w:szCs w:val="24"/>
        </w:rPr>
        <w:t>«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pStyle w:val="Normal"/>
        <w:spacing w:lineRule="auto" w:line="240" w:before="0" w:after="160"/>
        <w:ind w:left="567" w:right="567"/>
        <w:jc w:val="right"/>
        <w:rPr>
          <w:sz w:val="24"/>
          <w:szCs w:val="24"/>
        </w:rPr>
      </w:pPr>
      <w:r>
        <w:rPr>
          <w:sz w:val="24"/>
          <w:szCs w:val="24"/>
        </w:rPr>
        <w:t>(P01, infirmier — traduit du kinyarwanda)</w:t>
      </w:r>
    </w:p>
    <w:p>
      <w:pPr>
        <w:pStyle w:val="Heading2"/>
        <w:spacing w:before="220" w:after="120"/>
        <w:rPr/>
      </w:pPr>
      <w:r>
        <w:rPr/>
        <w:t>4.2. Sept thèmes</w:t>
      </w:r>
    </w:p>
    <w:p>
      <w:pPr>
        <w:pStyle w:val="Normal"/>
        <w:spacing w:before="0" w:after="80"/>
        <w:jc w:val="both"/>
        <w:rPr/>
      </w:pPr>
      <w:r>
        <w:rPr>
          <w:i w:val="false"/>
          <w:iCs w:val="false"/>
        </w:rPr>
        <w:t>L'analyse a dégagé sept thèmes, dont deux répondent au premier objectif et cinq au second (tableau 3).</w:t>
      </w:r>
    </w:p>
    <w:p>
      <w:pPr>
        <w:pStyle w:val="Normal"/>
        <w:keepNext w:val="true"/>
        <w:spacing w:before="200" w:after="80"/>
        <w:rPr/>
      </w:pPr>
      <w:r>
        <w:rPr>
          <w:b/>
          <w:bCs/>
        </w:rPr>
        <w:t>Tableau 3. Synthèse des thèmes</w:t>
      </w:r>
    </w:p>
    <w:tbl>
      <w:tblPr>
        <w:tblW w:w="8787" w:type="dxa"/>
        <w:jc w:val="left"/>
        <w:tblInd w:w="0" w:type="dxa"/>
        <w:tblLayout w:type="fixed"/>
        <w:tblCellMar>
          <w:top w:w="60" w:type="dxa"/>
          <w:left w:w="100" w:type="dxa"/>
          <w:bottom w:w="60" w:type="dxa"/>
          <w:right w:w="100" w:type="dxa"/>
        </w:tblCellMar>
      </w:tblPr>
      <w:tblGrid>
        <w:gridCol w:w="2920"/>
        <w:gridCol w:w="1363"/>
        <w:gridCol w:w="4504"/>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363"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test pour toutes, sauf les jours où il manque quelque chose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demandée pour toutes à la première CPN, faite au laboratoire ; sautée les jours de rupture, de panne ou sans laborantin, rarement rattrapée, non refaite à 24-28 semaines.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à l'inverse des besoins ; la séance collective, égale pour les présentes, ne restitue aucun résultat.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l'autosurveillance après le diagnostic reste réservée aux ménages aisés.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Les intrants rendent le test initial régulier, pas le contrôle tardif ni l'explication.</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363"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50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Les relais communautaires prolongent le dépistage ; l'alerte des ASM organise l'urgence, pas le contrôle.</w:t>
            </w:r>
          </w:p>
        </w:tc>
      </w:tr>
    </w:tbl>
    <w:p>
      <w:pPr>
        <w:pStyle w:val="Normal"/>
        <w:spacing w:before="60" w:after="200"/>
        <w:rPr>
          <w:sz w:val="22"/>
          <w:szCs w:val="22"/>
        </w:rPr>
      </w:pPr>
      <w:r>
        <w:rPr>
          <w:i/>
          <w:iCs/>
          <w:sz w:val="22"/>
          <w:szCs w:val="22"/>
        </w:rPr>
        <w:t>Source : chapitre 5 du mémoire.</w:t>
      </w:r>
    </w:p>
    <w:p>
      <w:pPr>
        <w:pStyle w:val="Heading2"/>
        <w:spacing w:before="220" w:after="120"/>
        <w:rPr/>
      </w:pPr>
      <w:r>
        <w:rPr/>
        <w:t>4.3. Un propos qui résume</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Heading2"/>
        <w:spacing w:before="220" w:after="120"/>
        <w:rPr/>
      </w:pPr>
      <w:r>
        <w:rPr/>
        <w:t>4.4. Ce que l'observation confirme ou nuance</w:t>
      </w:r>
    </w:p>
    <w:p>
      <w:pPr>
        <w:pStyle w:val="Normal"/>
        <w:spacing w:before="0" w:after="80"/>
        <w:jc w:val="both"/>
        <w:rPr/>
      </w:pPr>
      <w:r>
        <w:rPr>
          <w:i w:val="false"/>
          <w:iCs w:val="false"/>
        </w:rPr>
        <w:t>La confrontation des entretiens avec l'observation et les données de routine a produit 8 constats : 6 concordances et 2 écarts ; elle seule a montré les interruptions du test et l'absence de rattrapage.</w:t>
      </w:r>
    </w:p>
    <w:p>
      <w:pPr>
        <w:pStyle w:val="Heading1"/>
        <w:spacing w:before="280" w:after="160"/>
        <w:rPr/>
      </w:pPr>
      <w:r>
        <w:rPr/>
        <w:t>5. POINTS DE DISCUSSION</w:t>
      </w:r>
    </w:p>
    <w:p>
      <w:pPr>
        <w:pStyle w:val="ListParagraph"/>
        <w:numPr>
          <w:ilvl w:val="0"/>
          <w:numId w:val="1"/>
        </w:numPr>
        <w:spacing w:before="0" w:after="80"/>
        <w:jc w:val="both"/>
        <w:rPr/>
      </w:pPr>
      <w:r>
        <w:rPr>
          <w:i w:val="false"/>
          <w:iCs w:val="false"/>
        </w:rPr>
        <w:t>Une règle pour toutes, une exécution intermittente. Le test dépend des bandelettes du laboratoire, partagées avec la consultation des maladies chroniques, d'appareils sans maintenance et d'un laborantin souvent seul ; sans liste des femmes manquées, chaque interruption devient une absence définitive.</w:t>
      </w:r>
    </w:p>
    <w:p>
      <w:pPr>
        <w:pStyle w:val="ListParagraph"/>
        <w:numPr>
          <w:ilvl w:val="0"/>
          <w:numId w:val="1"/>
        </w:numPr>
        <w:spacing w:before="0" w:after="80"/>
        <w:jc w:val="both"/>
        <w:rPr/>
      </w:pPr>
      <w:r>
        <w:rPr>
          <w:i w:val="false"/>
          <w:iCs w:val="false"/>
        </w:rPr>
        <w:t>Un test unique, trop précoce. La glycémie de la première CPN repère un diabète préexistant ; le diabète gestationnel apparaît entre 24 et 28 semaines, période où le protocole national prévoit une épreuve de charge</w:t>
      </w:r>
      <w:r>
        <w:rPr/>
        <w:t xml:space="preserve"> [5]</w:t>
      </w:r>
      <w:r>
        <w:rPr>
          <w:i w:val="false"/>
          <w:iCs w:val="false"/>
        </w:rPr>
        <w:t xml:space="preserve"> que les centres ne pratiquent pas, alors que le contact de 26 semaines s'y prêterait</w:t>
      </w:r>
      <w:r>
        <w:rPr/>
        <w:t xml:space="preserve"> [7]</w:t>
      </w:r>
      <w:r>
        <w:rPr>
          <w:i w:val="false"/>
          <w:iCs w:val="false"/>
        </w:rPr>
        <w:t>.</w:t>
      </w:r>
    </w:p>
    <w:p>
      <w:pPr>
        <w:pStyle w:val="ListParagraph"/>
        <w:numPr>
          <w:ilvl w:val="0"/>
          <w:numId w:val="1"/>
        </w:numPr>
        <w:spacing w:before="0" w:after="80"/>
        <w:jc w:val="both"/>
        <w:rPr/>
      </w:pPr>
      <w:r>
        <w:rPr>
          <w:i w:val="false"/>
          <w:iCs w:val="false"/>
        </w:rPr>
        <w:t>L'explication, distribuée à l'inverse des besoins. L'inégalité ne tient pas seulement à l'accès au test, mais au temps d'explication, qui se raréfie là où il serait le plus utile ; c'est la dimension capacitante du dépistage qui se distribue mal</w:t>
      </w:r>
      <w:r>
        <w:rPr/>
        <w:t xml:space="preserve"> [6]</w:t>
      </w:r>
      <w:r>
        <w:rPr>
          <w:i w:val="false"/>
          <w:iCs w:val="false"/>
        </w:rPr>
        <w:t>.</w:t>
      </w:r>
    </w:p>
    <w:p>
      <w:pPr>
        <w:pStyle w:val="ListParagraph"/>
        <w:numPr>
          <w:ilvl w:val="0"/>
          <w:numId w:val="1"/>
        </w:numPr>
        <w:spacing w:before="0" w:after="80"/>
        <w:jc w:val="both"/>
        <w:rPr/>
      </w:pPr>
      <w:r>
        <w:rPr>
          <w:i w:val="false"/>
          <w:iCs w:val="false"/>
        </w:rPr>
        <w:t>Ce qui est compté existe. Un dépistage absent du rapport mensuel n'est ni approvisionné ni contrôlé, et le contrôle de complétude du registre peut produire une égalité apparente. Le financement basé sur la performance rémunère la première CPN précoce et les quatre visites</w:t>
      </w:r>
      <w:r>
        <w:rPr/>
        <w:t xml:space="preserve"> [8]</w:t>
      </w:r>
      <w:r>
        <w:rPr>
          <w:i w:val="false"/>
          <w:iCs w:val="false"/>
        </w:rPr>
        <w:t xml:space="preserve"> ; son effet est plus net sur les services les mieux payés et les moins exigeants</w:t>
      </w:r>
      <w:r>
        <w:rPr/>
        <w:t xml:space="preserve"> [9]</w:t>
      </w:r>
      <w:r>
        <w:rPr>
          <w:i w:val="false"/>
          <w:iCs w:val="false"/>
        </w:rPr>
        <w:t>.</w:t>
      </w:r>
    </w:p>
    <w:p>
      <w:pPr>
        <w:pStyle w:val="ListParagraph"/>
        <w:numPr>
          <w:ilvl w:val="0"/>
          <w:numId w:val="1"/>
        </w:numPr>
        <w:spacing w:before="0" w:after="80"/>
        <w:jc w:val="both"/>
        <w:rPr/>
      </w:pPr>
      <w:r>
        <w:rPr>
          <w:i w:val="false"/>
          <w:iCs w:val="false"/>
        </w:rPr>
        <w:t>La séance collective, levier à orienter. Égale pour les présentes, elle ne restitue aucun résultat et manque celles qui arrivent tard ; y inscrire la tension et le sucre et la relayer vers les familles (ASM, umugoroba w'ababyeyi</w:t>
      </w:r>
      <w:r>
        <w:rPr/>
        <w:t xml:space="preserve"> [10]</w:t>
      </w:r>
      <w:r>
        <w:rPr>
          <w:i w:val="false"/>
          <w:iCs w:val="false"/>
        </w:rPr>
        <w:t>) en ferait un instrument d'équité</w:t>
      </w:r>
      <w:r>
        <w:rPr/>
        <w:t xml:space="preserve"> [11]</w:t>
      </w:r>
      <w:r>
        <w:rPr>
          <w:i w:val="false"/>
          <w:iCs w:val="false"/>
        </w:rPr>
        <w:t>.</w:t>
      </w:r>
    </w:p>
    <w:p>
      <w:pPr>
        <w:pStyle w:val="ListParagraph"/>
        <w:numPr>
          <w:ilvl w:val="0"/>
          <w:numId w:val="1"/>
        </w:numPr>
        <w:spacing w:before="0" w:after="80"/>
        <w:jc w:val="both"/>
        <w:rPr/>
      </w:pPr>
      <w:r>
        <w:rPr>
          <w:i w:val="false"/>
          <w:iCs w:val="false"/>
        </w:rPr>
        <w:t>La dotation ne suffit pas. L'équipement réduit l'inégalité du test, pas celles de la référence et de l'explication.</w:t>
      </w:r>
    </w:p>
    <w:p>
      <w:pPr>
        <w:pStyle w:val="Heading1"/>
        <w:spacing w:before="280" w:after="160"/>
        <w:rPr/>
      </w:pPr>
      <w:r>
        <w:rPr/>
        <w:t>6. RECOMMANDATIONS</w:t>
      </w:r>
    </w:p>
    <w:p>
      <w:pPr>
        <w:pStyle w:val="Normal"/>
        <w:keepNext w:val="true"/>
        <w:spacing w:before="200" w:after="80"/>
        <w:rPr/>
      </w:pPr>
      <w:r>
        <w:rPr>
          <w:b/>
          <w:bCs/>
        </w:rPr>
        <w:t>Tableau 4. Recommandations par destinataire</w:t>
      </w:r>
    </w:p>
    <w:tbl>
      <w:tblPr>
        <w:tblW w:w="8787" w:type="dxa"/>
        <w:jc w:val="left"/>
        <w:tblInd w:w="0" w:type="dxa"/>
        <w:tblLayout w:type="fixed"/>
        <w:tblCellMar>
          <w:top w:w="60" w:type="dxa"/>
          <w:left w:w="100" w:type="dxa"/>
          <w:bottom w:w="60" w:type="dxa"/>
          <w:right w:w="100" w:type="dxa"/>
        </w:tblCellMar>
      </w:tblPr>
      <w:tblGrid>
        <w:gridCol w:w="2142"/>
        <w:gridCol w:w="4990"/>
        <w:gridCol w:w="1655"/>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Destinataire</w:t>
            </w:r>
          </w:p>
        </w:tc>
        <w:tc>
          <w:tcPr>
            <w:tcW w:w="499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Recommandations</w:t>
            </w:r>
          </w:p>
        </w:tc>
        <w:tc>
          <w:tcPr>
            <w:tcW w:w="1655"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Résultats d'appui</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Ministère de la Santé et Rwanda Biomedical Centre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Relier les campagnes de dépistage des MNT à la CPN ; garantir sans rupture les bandelettes de la glycémie de la première CPN ; rendre praticable le dépistage du diabète gestationnel entre 24 et 28 semaines (glycémie à jeun ou épreuve de charge, au contact de 26 semaines), avec des critères écrits pour les femmes à risque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 de la santé du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Inclure les bandelettes de la CPN et les piles des tensiomètres dans les intrants essentiels, avec un seuil d'alerte ; doter chaque CPN d'un glucomètre d'urgence et former à son usage tous ses prestataires ; garantir la présence d'un laborantin ou d'un remplaçant aux heures de CPN ; ajouter au rapport mensuel une ligne sur le dépistage et sa suite ; organiser la maintenance ; superviser les actes, pas seulement la complétude des registres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4, 5 et 6</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Responsables des centres de santé</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Tenir la liste des femmes dont le test n'a pas pu être fait et le refaire au rendez-vous suivant ; organiser le passage au laboratoire le matin même, avant la fermeture ; organiser le contrôle à 24-28 semaines ; prévoir un suivi plus rapproché des femmes dépistées qui ne peuvent pas se surveiller à domicile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Hôpital de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Rendre systématique le retour d'information vers le centre pour chaque femme référée ; organiser le suivi après l'accouchement des femmes dépistées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Équipes de CPN</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2</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initiale et continue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Former les infirmiers affectés aux constantes autant que les sages-femmes ; former des équipes plutôt que des personnes ; intégrer la pratique informative et sa distribution entre les femmes au contenu des formations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2 ; conditions individuelles</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Programme de santé communautaire</w:t>
            </w:r>
          </w:p>
        </w:tc>
        <w:tc>
          <w:tcPr>
            <w:tcW w:w="499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w="1655"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Thèmes 3 et 7</w:t>
            </w:r>
          </w:p>
        </w:tc>
      </w:tr>
    </w:tbl>
    <w:p>
      <w:pPr>
        <w:pStyle w:val="Normal"/>
        <w:spacing w:before="60" w:after="200"/>
        <w:rPr>
          <w:sz w:val="22"/>
          <w:szCs w:val="22"/>
        </w:rPr>
      </w:pPr>
      <w:r>
        <w:rPr>
          <w:i/>
          <w:iCs/>
          <w:sz w:val="22"/>
          <w:szCs w:val="22"/>
        </w:rPr>
        <w:t>Source : chapitre 6 du mémoire.</w:t>
      </w:r>
    </w:p>
    <w:p>
      <w:pPr>
        <w:pStyle w:val="Heading1"/>
        <w:spacing w:before="280" w:after="160"/>
        <w:rPr/>
      </w:pPr>
      <w:r>
        <w:rPr/>
        <w:t>7. LIMITES</w:t>
      </w:r>
    </w:p>
    <w:p>
      <w:pPr>
        <w:pStyle w:val="Normal"/>
        <w:spacing w:before="0" w:after="80"/>
        <w:jc w:val="both"/>
        <w:rPr/>
      </w:pPr>
      <w:r>
        <w:rPr>
          <w:i w:val="false"/>
          <w:iCs w:val="false"/>
        </w:rPr>
        <w:t>Pratiques déclarées ; point de vue des femmes non recueilli ; propos notés sans enregistrement ; effet de présence de l'observateur ; données de routine limitées ; un seul district.</w:t>
      </w:r>
    </w:p>
    <w:p>
      <w:pPr>
        <w:pStyle w:val="Heading1"/>
        <w:spacing w:before="280" w:after="160"/>
        <w:rPr/>
      </w:pPr>
      <w:r>
        <w:rPr/>
        <w:t>8. CONCLUSION</w:t>
      </w:r>
    </w:p>
    <w:p>
      <w:pPr>
        <w:pStyle w:val="Normal"/>
        <w:spacing w:before="0" w:after="80"/>
        <w:jc w:val="both"/>
        <w:rPr/>
      </w:pPr>
      <w:r>
        <w:rPr>
          <w:i w:val="false"/>
          <w:iCs w:val="false"/>
        </w:rPr>
        <w:t>Le dépistage de l'hypertension et du diabète en CPN est accepté par les professionnels comme relevant de leur mandat, et pratiqué pour toutes, mais de façon intermittente : la glycémie de la première CPN n'était faite que dans 8 centres sur 15 le jour de l'observation, rarement rattrapée et jamais refaite de façon systématique entre 24 et 28 semaines. Trois leviers ressortent : garantir la continuité du test initial et rendre praticable celui de 24-28 semaines, compter les actes de dépistage et leur suite, soutenir la pratique informative.</w:t>
      </w:r>
    </w:p>
    <w:p>
      <w:pPr>
        <w:pStyle w:val="Heading1"/>
        <w:spacing w:before="280" w:after="160"/>
        <w:rPr/>
      </w:pPr>
      <w:r>
        <w:rPr/>
        <w:t>RÉFÉRENCES</w:t>
      </w:r>
    </w:p>
    <w:p>
      <w:pPr>
        <w:pStyle w:val="Bibliographie"/>
        <w:rPr/>
      </w:pPr>
      <w:r>
        <w:rPr/>
        <w:t>1.</w:t>
        <w:tab/>
        <w:t>World Health Organization. WHO recommendations on antenatal care for a positive pregnancy experience. Geneva: WHO; 2016.</w:t>
      </w:r>
    </w:p>
    <w:p>
      <w:pPr>
        <w:pStyle w:val="Bibliographie"/>
        <w:rPr/>
      </w:pPr>
      <w:r>
        <w:rPr/>
        <w:t>2.</w:t>
        <w:tab/>
        <w:t>World Health Organization. WHO package of essential noncommunicable (PEN) disease interventions for primary health care. Geneva: WHO; 2020.</w:t>
      </w:r>
    </w:p>
    <w:p>
      <w:pPr>
        <w:pStyle w:val="Bibliographie"/>
        <w:rPr/>
      </w:pPr>
      <w:r>
        <w:rPr/>
        <w:t>3.</w:t>
        <w:tab/>
        <w:t>Rwanda Biomedical Centre, Ministry of Health, World Health Organization. Rwanda non-communicable diseases risk factors report: STEPS survey 2022. Kigali: Rwanda Biomedical Centre; 2023.</w:t>
      </w:r>
    </w:p>
    <w:p>
      <w:pPr>
        <w:pStyle w:val="Bibliographie"/>
        <w:rPr/>
      </w:pPr>
      <w:r>
        <w:rPr/>
        <w:t>4.</w:t>
        <w:tab/>
        <w:t>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rPr/>
      </w:pPr>
      <w:r>
        <w:rPr/>
        <w:t>5.</w:t>
        <w:tab/>
        <w:t>Meharry PM, Tengera O, Rulisa S, Byambu AK, Nietert PJ, Byiringiro S, et al. Prevalence of gestational diabetes mellitus among women attending antenatal care at public health centers in Rwanda. Diabetes Res Clin Pract. 2019;151:252-9.</w:t>
      </w:r>
    </w:p>
    <w:p>
      <w:pPr>
        <w:pStyle w:val="Bibliographie"/>
        <w:rPr/>
      </w:pPr>
      <w:r>
        <w:rPr/>
        <w:t>6.</w:t>
        <w:tab/>
        <w:t>World Health Organization. Ottawa Charter for Health Promotion. Geneva: WHO; 1986.</w:t>
      </w:r>
    </w:p>
    <w:p>
      <w:pPr>
        <w:pStyle w:val="Bibliographie"/>
        <w:rPr/>
      </w:pPr>
      <w:r>
        <w:rPr/>
        <w:t>7.</w:t>
        <w:tab/>
        <w:t>Rwanda Biomedical Centre, Ministry of Health. National antenatal care guidelines. Kigali: RBC; 2021. Disponible sur: https://rbc.gov.rw/MCCH/wp-content/uploads/2025/02/ANC-guideline_-final-Edited-4-February-2021-1-1.pdf</w:t>
      </w:r>
    </w:p>
    <w:p>
      <w:pPr>
        <w:pStyle w:val="Bibliographie"/>
        <w:rPr/>
      </w:pPr>
      <w:r>
        <w:rPr/>
        <w:t>8.</w:t>
        <w:tab/>
        <w:t>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rPr/>
      </w:pPr>
      <w:r>
        <w:rPr/>
        <w:t>9.</w:t>
        <w:tab/>
        <w:t>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rPr/>
      </w:pPr>
      <w:r>
        <w:rPr/>
        <w:t>10.</w:t>
        <w:tab/>
        <w:t>Nsanzabera F, Irakoze E, Manishimwe A, Nsengiyumva JB, Mwiseneza A, Ntakirutimana E, et al. Improving early childhood nutrition practices through parents' evening forums in rural Rwanda. Public Health Nutr. 2025;28(1):e136. doi:10.1017/S1368980025100803</w:t>
      </w:r>
    </w:p>
    <w:p>
      <w:pPr>
        <w:pStyle w:val="Bibliographie"/>
        <w:spacing w:lineRule="auto" w:line="240" w:before="0" w:after="20"/>
        <w:ind w:hanging="567" w:left="567"/>
        <w:jc w:val="left"/>
        <w:rPr/>
      </w:pPr>
      <w:r>
        <w:rPr/>
        <w:t>11.</w:t>
        <w:tab/>
        <w:t>Musabyimana A, Lundeen T, Butrick E, Sayinzoga F, Rwabufigiri BN, Walker D, Musange SF. Before and after implementation of group antenatal care in Rwanda: a qualitative study of women’s experiences. Reprod Health. 2019;16(1):90. doi:10.1186/s12978-019-0750-5</w:t>
      </w:r>
    </w:p>
    <w:sectPr>
      <w:footerReference w:type="even" r:id="rId2"/>
      <w:footerReference w:type="default" r:id="rId3"/>
      <w:footerReference w:type="first" r:id="rId4"/>
      <w:type w:val="nextPage"/>
      <w:pgSz w:w="11906" w:h="16838"/>
      <w:pgMar w:left="1701" w:right="1418" w:gutter="0" w:header="0" w:top="1418" w:footer="709" w:bottom="1418"/>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240" w:before="0" w:after="2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2026-10-03T08:26:54Z</dcterms:created>
  <dc:creator>Un-named</dc:creator>
  <dc:description/>
  <dc:language>en-US</dc:language>
  <cp:lastModifiedBy>Un-named</cp:lastModifiedBy>
  <dcterms:modified xsi:type="dcterms:W3CDTF">2026-10-03T08:26:54Z</dcterms:modified>
  <cp:revision>1</cp:revision>
  <dc:subject/>
  <dc:title/>
</cp:coreProperties>
</file>