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140"/>
        <w:jc w:val="both"/>
      </w:pPr>
      <w:r>
        <w:rPr>
          <w:i w:val="false"/>
          <w:iCs w:val="false"/>
          <w:sz w:val="22"/>
          <w:szCs w:val="22"/>
        </w:rPr>
        <w:t xml:space="preserve">Le dépistage est « coupé en deux » : la tension est mesurée à chaque visite ; la glycémie, prévue pour toutes à la première CPN, relève du laboratoire, n'était effectivement réalisée que dans 5 centres sur 15 et n'est refaite nulle part de façon systématique à 24-28 semaines. L'explication est modulée à l'inverse des besoins (17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Deux programmes dans le même centre</w:t>
      </w:r>
    </w:p>
    <w:p>
      <w:pPr>
        <w:spacing w:after="14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Or la décentralisation des soins chroniques, prolongée par le mentorat d'infirmiers de centres de santé</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a rattaché le glucomètre à la consultation des maladies chroniques. Deux programmes coexistent sans la jonction que la revue jugeait absente</w:t>
      </w:r>
      <w:r>
        <w:rPr>
          <w:sz w:val="22"/>
          <w:szCs w:val="22"/>
        </w:rPr>
        <w:t xml:space="preserve"> [63,64]</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concordent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 En CPN, au contraire, la tension a été mesurée chez 93,5 % des femmes suivies dans la province de l'Est selon l'EDS 2025</w:t>
      </w:r>
      <w:r>
        <w:rPr>
          <w:sz w:val="22"/>
          <w:szCs w:val="22"/>
        </w:rPr>
        <w:t xml:space="preserve"> [73]</w:t>
      </w:r>
      <w:r>
        <w:rPr>
          <w:i w:val="false"/>
          <w:iCs w:val="false"/>
          <w:sz w:val="22"/>
          <w:szCs w:val="22"/>
        </w:rPr>
        <w:t xml:space="preserve"> : l'écart entre les deux dépistages tient à l'organisation plus qu'à la règle.</w:t>
      </w:r>
    </w:p>
    <w:p>
      <w:pPr>
        <w:spacing w:after="140"/>
        <w:jc w:val="both"/>
      </w:pPr>
      <w:r>
        <w:rPr>
          <w:i w:val="false"/>
          <w:iCs w:val="false"/>
          <w:sz w:val="22"/>
          <w:szCs w:val="22"/>
        </w:rPr>
        <w:t xml:space="preserve">La règle elle-même n'est pas en cause : le diabète fait partie des affections recherchées chez toutes les femmes à la première CPN et consignées au registre de maternité</w:t>
      </w:r>
      <w:r>
        <w:rPr>
          <w:sz w:val="22"/>
          <w:szCs w:val="22"/>
        </w:rPr>
        <w:t xml:space="preserve"> [74]</w:t>
      </w:r>
      <w:r>
        <w:rPr>
          <w:i w:val="false"/>
          <w:iCs w:val="false"/>
          <w:sz w:val="22"/>
          <w:szCs w:val="22"/>
        </w:rPr>
        <w:t xml:space="preserve">, et cette visite doit avoir lieu avant 12 semaines dans le modèle national à huit contacts, qui prévoit aussi un contact à 26 semaines</w:t>
      </w:r>
      <w:r>
        <w:rPr>
          <w:sz w:val="22"/>
          <w:szCs w:val="22"/>
        </w:rPr>
        <w:t xml:space="preserve"> [75]</w:t>
      </w:r>
      <w:r>
        <w:rPr>
          <w:i w:val="false"/>
          <w:iCs w:val="false"/>
          <w:sz w:val="22"/>
          <w:szCs w:val="22"/>
        </w:rPr>
        <w:t xml:space="preserve">. Deux limites tiennent à l'organisation. La première est matérielle : là où le laboratoire manque de bandelettes ou les réserve aux malades chroniques, même le test de la première CPN n'est pas fait, et la case du registre peut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alors que le contact de 26 semaines s'y prêterait.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 : à Kigali, une cohorte testée entre 24 et 28 semaines selon les critères de 2013 trouvait 19,5 %, dans une population il est vrai très favorisée</w:t>
      </w:r>
      <w:r>
        <w:rPr>
          <w:sz w:val="22"/>
          <w:szCs w:val="22"/>
        </w:rPr>
        <w:t xml:space="preserve"> [76]</w:t>
      </w:r>
      <w:r>
        <w:rPr>
          <w:i w:val="false"/>
          <w:iCs w:val="false"/>
          <w:sz w:val="22"/>
          <w:szCs w:val="22"/>
        </w:rPr>
        <w:t xml:space="preserve">.</w:t>
      </w:r>
    </w:p>
    <w:p>
      <w:pPr>
        <w:pStyle w:val="Heading3"/>
        <w:spacing w:after="100" w:before="180"/>
      </w:pPr>
      <w:r>
        <w:t xml:space="preserve">6.2.2. Le prestataire, opérateur concret de l'équité</w:t>
      </w:r>
    </w:p>
    <w:p>
      <w:pPr>
        <w:spacing w:after="14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Ce gradient s'est resserré pour le contact : de l'EDS 2019-2020 à l'EDS 2025, la part des femmes ayant eu au moins quatre visites est passée de 47,2 % à 77,5 %, et l'écart entre les quintiles extrêmes de 21,5 à 7,6 points</w:t>
      </w:r>
      <w:r>
        <w:rPr>
          <w:sz w:val="22"/>
          <w:szCs w:val="22"/>
        </w:rPr>
        <w:t xml:space="preserve"> [10,73]</w:t>
      </w:r>
      <w:r>
        <w:rPr>
          <w:i w:val="false"/>
          <w:iCs w:val="false"/>
          <w:sz w:val="22"/>
          <w:szCs w:val="22"/>
        </w:rPr>
        <w:t xml:space="preserve">. L'inégalité se déplace donc vers le contenu de la consultation. Nos résultats décrivent comment le service reproduit l'inégalité : l'explication va d'abord aux femmes qui en ont le moins besoin, à l'image de la « loi inverse des soins »</w:t>
      </w:r>
      <w:r>
        <w:rPr>
          <w:sz w:val="22"/>
          <w:szCs w:val="22"/>
        </w:rPr>
        <w:t xml:space="preserve"> [77]</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[78]</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[79]</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où un quart des prestataires de CPN de 121 centres déclaraient consacrer 15 minutes ou moins à une femme</w:t>
      </w:r>
      <w:r>
        <w:rPr>
          <w:sz w:val="22"/>
          <w:szCs w:val="22"/>
        </w:rPr>
        <w:t xml:space="preserve"> [80]</w:t>
      </w:r>
      <w:r>
        <w:rPr>
          <w:i w:val="false"/>
          <w:iCs w:val="false"/>
          <w:sz w:val="22"/>
          <w:szCs w:val="22"/>
        </w:rPr>
        <w:t xml:space="preserve"> ; les contre-pratiques décrites rejoignent l'universalisme proportionné</w:t>
      </w:r>
      <w:r>
        <w:rPr>
          <w:sz w:val="22"/>
          <w:szCs w:val="22"/>
        </w:rPr>
        <w:t xml:space="preserve"> [81]</w:t>
      </w:r>
      <w:r>
        <w:rPr>
          <w:i w:val="false"/>
          <w:iCs w:val="false"/>
          <w:sz w:val="22"/>
          <w:szCs w:val="22"/>
        </w:rPr>
        <w:t xml:space="preserve">. La séance d'éducation collective en offre le contre-modèle : un universalisme sans proportion, le même message pour les présentes et rien pour celles qui arrivent après elle. Elle n'en est pas moins un levier : la CPN de groupe expérimentée au Rwanda a accru les connaissances et le soutien entre pairs</w:t>
      </w:r>
      <w:r>
        <w:rPr>
          <w:sz w:val="22"/>
          <w:szCs w:val="22"/>
        </w:rPr>
        <w:t xml:space="preserve"> [66]</w:t>
      </w:r>
      <w:r>
        <w:rPr>
          <w:i w:val="false"/>
          <w:iCs w:val="false"/>
          <w:sz w:val="22"/>
          <w:szCs w:val="22"/>
        </w:rPr>
        <w:t xml:space="preserve">, alors que la connaissance des signes de danger reste partielle chez les femmes suivies</w:t>
      </w:r>
      <w:r>
        <w:rPr>
          <w:sz w:val="22"/>
          <w:szCs w:val="22"/>
        </w:rPr>
        <w:t xml:space="preserve"> [82]</w:t>
      </w:r>
      <w:r>
        <w:rPr>
          <w:i w:val="false"/>
          <w:iCs w:val="false"/>
          <w:sz w:val="22"/>
          <w:szCs w:val="22"/>
        </w:rPr>
        <w:t xml:space="preserve">. Y inscrire la tension et le sucre, et ne jamais en faire un substitut de la restitution individuelle, relève de l'axe « aptitudes individuelles » de la Charte</w:t>
      </w:r>
      <w:r>
        <w:rPr>
          <w:sz w:val="22"/>
          <w:szCs w:val="22"/>
        </w:rPr>
        <w:t xml:space="preserve"> [23]</w:t>
      </w:r>
      <w:r>
        <w:rPr>
          <w:i w:val="false"/>
          <w:iCs w:val="false"/>
          <w:sz w:val="22"/>
          <w:szCs w:val="22"/>
        </w:rPr>
        <w:t xml:space="preserve">.</w:t>
      </w:r>
    </w:p>
    <w:p>
      <w:pPr>
        <w:pStyle w:val="Heading3"/>
        <w:spacing w:after="100" w:before="180"/>
      </w:pPr>
      <w:r>
        <w:t xml:space="preserve">6.2.3. Ce qui est compté, et ce qui le suit</w:t>
      </w:r>
    </w:p>
    <w:p>
      <w:pPr>
        <w:spacing w:after="14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[83]</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Le financement basé sur la performance donne à ce mécanisme sa forme rwandaise : il rémunère les centres pour des volumes de services, dont la première CPN précoce et les quatre visites</w:t>
      </w:r>
      <w:r>
        <w:rPr>
          <w:sz w:val="22"/>
          <w:szCs w:val="22"/>
        </w:rPr>
        <w:t xml:space="preserve"> [74]</w:t>
      </w:r>
      <w:r>
        <w:rPr>
          <w:i w:val="false"/>
          <w:iCs w:val="false"/>
          <w:sz w:val="22"/>
          <w:szCs w:val="22"/>
        </w:rPr>
        <w:t xml:space="preserve">, et son évaluation a montré un effet plus net sur les services les mieux payés et les moins exigeants pour le prestataire</w:t>
      </w:r>
      <w:r>
        <w:rPr>
          <w:sz w:val="22"/>
          <w:szCs w:val="22"/>
        </w:rPr>
        <w:t xml:space="preserve"> [84]</w:t>
      </w:r>
      <w:r>
        <w:rPr>
          <w:i w:val="false"/>
          <w:iCs w:val="false"/>
          <w:sz w:val="22"/>
          <w:szCs w:val="22"/>
        </w:rPr>
        <w:t xml:space="preserve">. La détection, enfin, n'a de valeur que si la référence aboutit : les facteurs limitants inventoriés ailleurs</w:t>
      </w:r>
      <w:r>
        <w:rPr>
          <w:sz w:val="22"/>
          <w:szCs w:val="22"/>
        </w:rPr>
        <w:t xml:space="preserve"> [24-26]</w:t>
      </w:r>
      <w:r>
        <w:rPr>
          <w:i w:val="false"/>
          <w:iCs w:val="false"/>
          <w:sz w:val="22"/>
          <w:szCs w:val="22"/>
        </w:rPr>
        <w:t xml:space="preserve"> s'articulent ici en une chaîne — transport, décision du ménage, retour d'information —, dont les animatrices de santé maternelle, chargées dans chaque village de repérer les femmes enceintes et de les orienter vers la CPN</w:t>
      </w:r>
      <w:r>
        <w:rPr>
          <w:sz w:val="22"/>
          <w:szCs w:val="22"/>
        </w:rPr>
        <w:t xml:space="preserve"> [85]</w:t>
      </w:r>
      <w:r>
        <w:rPr>
          <w:i w:val="false"/>
          <w:iCs w:val="false"/>
          <w:sz w:val="22"/>
          <w:szCs w:val="22"/>
        </w:rPr>
        <w:t xml:space="preserve">, assurent parfois le dernier maillon (thème 7), en accord avec les pratiques de référence sous-optimales décrites au Rwanda, où moins de la moitié des prestataires citaient la prééclampsie parmi les motifs de référence urgente</w:t>
      </w:r>
      <w:r>
        <w:rPr>
          <w:sz w:val="22"/>
          <w:szCs w:val="22"/>
        </w:rPr>
        <w:t xml:space="preserve"> [80]</w:t>
      </w:r>
      <w:r>
        <w:rPr>
          <w:i w:val="false"/>
          <w:iCs w:val="false"/>
          <w:sz w:val="22"/>
          <w:szCs w:val="22"/>
        </w:rPr>
        <w:t xml:space="preserve">, alors que 82 % des décès maternels d'un hôpital de référence concernaient des femmes référées, dont 15 % par troubles hypertensifs</w:t>
      </w:r>
      <w:r>
        <w:rPr>
          <w:sz w:val="22"/>
          <w:szCs w:val="22"/>
        </w:rPr>
        <w:t xml:space="preserve"> [86]</w:t>
      </w:r>
      <w:r>
        <w:rPr>
          <w:i w:val="false"/>
          <w:iCs w:val="false"/>
          <w:sz w:val="22"/>
          <w:szCs w:val="22"/>
        </w:rPr>
        <w:t xml:space="preserve">, et le suivi s'interrompt à l'accouchement alors que la grossesse peut révéler ces affections</w:t>
      </w:r>
      <w:r>
        <w:rPr>
          <w:sz w:val="22"/>
          <w:szCs w:val="22"/>
        </w:rPr>
        <w:t xml:space="preserve"> [4,5]</w:t>
      </w:r>
      <w:r>
        <w:rPr>
          <w:i w:val="false"/>
          <w:iCs w:val="false"/>
          <w:sz w:val="22"/>
          <w:szCs w:val="22"/>
        </w:rPr>
        <w:t xml:space="preserve">. Les dispositifs nationaux jouent dans les deux sens : la venue du conjoint attendue à la première CPN retarde des femmes, comme l'avaient décrit Påfs et al.</w:t>
      </w:r>
      <w:r>
        <w:rPr>
          <w:sz w:val="22"/>
          <w:szCs w:val="22"/>
        </w:rPr>
        <w:t xml:space="preserve"> [57]</w:t>
      </w:r>
      <w:r>
        <w:rPr>
          <w:i w:val="false"/>
          <w:iCs w:val="false"/>
          <w:sz w:val="22"/>
          <w:szCs w:val="22"/>
        </w:rPr>
        <w:t xml:space="preserve"> ; les aides ciblées de l'ubudehe — mutuelle prise en charge</w:t>
      </w:r>
      <w:r>
        <w:rPr>
          <w:sz w:val="22"/>
          <w:szCs w:val="22"/>
        </w:rPr>
        <w:t xml:space="preserve"> [61,62]</w:t>
      </w:r>
      <w:r>
        <w:rPr>
          <w:i w:val="false"/>
          <w:iCs w:val="false"/>
          <w:sz w:val="22"/>
          <w:szCs w:val="22"/>
        </w:rPr>
        <w:t xml:space="preserve"> et farine Shisha Kibondo</w:t>
      </w:r>
      <w:r>
        <w:rPr>
          <w:sz w:val="22"/>
          <w:szCs w:val="22"/>
        </w:rPr>
        <w:t xml:space="preserve"> [87]</w:t>
      </w:r>
      <w:r>
        <w:rPr>
          <w:i w:val="false"/>
          <w:iCs w:val="false"/>
          <w:sz w:val="22"/>
          <w:szCs w:val="22"/>
        </w:rPr>
        <w:t xml:space="preserve"> — rapprochent les plus pauvres du service, au risque d'un effet de seuil ; l'alerte téléphonique des ASM a fait progresser les accouchements en établissement</w:t>
      </w:r>
      <w:r>
        <w:rPr>
          <w:sz w:val="22"/>
          <w:szCs w:val="22"/>
        </w:rPr>
        <w:t xml:space="preserve"> [88]</w:t>
      </w:r>
      <w:r>
        <w:rPr>
          <w:i w:val="false"/>
          <w:iCs w:val="false"/>
          <w:sz w:val="22"/>
          <w:szCs w:val="22"/>
        </w:rPr>
        <w:t xml:space="preserve"> mais reste un outil d'urgence ; et les campagnes de dépistage des maladies non transmissibles, qui révèlent beaucoup d'hypertensions ignorées</w:t>
      </w:r>
      <w:r>
        <w:rPr>
          <w:sz w:val="22"/>
          <w:szCs w:val="22"/>
        </w:rPr>
        <w:t xml:space="preserve"> [89]</w:t>
      </w:r>
      <w:r>
        <w:rPr>
          <w:i w:val="false"/>
          <w:iCs w:val="false"/>
          <w:sz w:val="22"/>
          <w:szCs w:val="22"/>
        </w:rPr>
        <w:t xml:space="preserve">, ne sont pas reliées à la CPN. À l'inverse, l'umugoroba w'ababyeyi, forum villageois des parents déjà mobilisé pour l'éducation nutritionnelle</w:t>
      </w:r>
      <w:r>
        <w:rPr>
          <w:sz w:val="22"/>
          <w:szCs w:val="22"/>
        </w:rPr>
        <w:t xml:space="preserve"> [90]</w:t>
      </w:r>
      <w:r>
        <w:rPr>
          <w:i w:val="false"/>
          <w:iCs w:val="false"/>
          <w:sz w:val="22"/>
          <w:szCs w:val="22"/>
        </w:rPr>
        <w:t xml:space="preserve">, offrirait un relais vers les maris et les familles, que la séance du centre n'atteint pas.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14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140"/>
        <w:jc w:val="both"/>
      </w:pPr>
      <w:r>
        <w:rPr>
          <w:i w:val="false"/>
          <w:iCs w:val="false"/>
          <w:sz w:val="22"/>
          <w:szCs w:val="22"/>
        </w:rPr>
        <w:t xml:space="preserve">Sur les 88 codes de l'arbre final, 41 sont nés du matériau. Ils ne remettent pas en cause les deux ensembles du cadre, mais appellent trois révisions (tableau VIII),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le dispositif de contrôle comme condition systémique ; une articulation communautaire ; et trois dimensions de l'équité d'accès — au test, à l'explication, à la continuité.</w:t>
      </w:r>
    </w:p>
    <w:p>
      <w:pPr>
        <w:keepNext/>
        <w:pageBreakBefore/>
        <w:spacing w:after="60" w:before="0" w:line="240" w:lineRule="auto"/>
        <w:jc w:val="center"/>
      </w:pPr>
      <w:r>
        <w:drawing>
          <wp:inline distT="0" distB="0" distL="0" distR="0">
            <wp:extent cx="4953000" cy="758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5819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VIII et des observations.</w:t>
      </w:r>
    </w:p>
    <w:p>
      <w:pPr>
        <w:keepNext/>
        <w:spacing w:after="80" w:before="200"/>
      </w:pPr>
      <w:r>
        <w:rPr>
          <w:b/>
          <w:bCs/>
          <w:sz w:val="20"/>
          <w:szCs w:val="20"/>
        </w:rPr>
        <w:t xml:space="preserve">Tableau VIII.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l'intrant présent, l'intrant utilisable, l'intrant accessible à la CPN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Glucomètre au laboratoire ou à la consultation des maladies chroniques ; bandelettes réservées, absentes ou périmées ; glycémie unique à la première CPN,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Pratique informative</w:t>
            </w:r>
          </w:p>
        </w:tc>
        <w:tc>
          <w:tcPr>
            <w:tcW w:type="dxa" w:w="2900"/>
            <w:tcMar>
              <w:top w:type="dxa" w:w="60"/>
              <w:left w:type="dxa" w:w="100"/>
              <w:bottom w:type="dxa" w:w="60"/>
              <w:right w:type="dxa" w:w="100"/>
            </w:tcMar>
          </w:tcPr>
          <w:p>
            <w:r>
              <w:rPr>
                <w:b w:val="false"/>
                <w:bCs w:val="false"/>
                <w:i w:val="false"/>
                <w:iCs w:val="false"/>
                <w:sz w:val="19"/>
                <w:szCs w:val="19"/>
              </w:rPr>
              <w:t xml:space="preserve">Distinguer l'information collective (séance d'éducation) et la restitution individuelle du résultat</w:t>
            </w:r>
          </w:p>
        </w:tc>
        <w:tc>
          <w:tcPr>
            <w:tcW w:type="dxa" w:w="3826"/>
            <w:tcMar>
              <w:top w:type="dxa" w:w="60"/>
              <w:left w:type="dxa" w:w="100"/>
              <w:bottom w:type="dxa" w:w="60"/>
              <w:right w:type="dxa" w:w="100"/>
            </w:tcMar>
          </w:tcPr>
          <w:p>
            <w:r>
              <w:rPr>
                <w:b w:val="false"/>
                <w:bCs w:val="false"/>
                <w:i w:val="false"/>
                <w:iCs w:val="false"/>
                <w:sz w:val="19"/>
                <w:szCs w:val="19"/>
              </w:rPr>
              <w:t xml:space="preserve">Séance égale pour les présentes, muette sur le résultat ; manquée par les femmes arrivées tard (thème 2)</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ASM et de leur alerte téléphonique, forums villageois (umugoroba w'ababyeyi),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pStyle w:val="Heading2"/>
        <w:spacing w:after="120" w:before="220"/>
      </w:pPr>
      <w:r>
        <w:t xml:space="preserve">6.4. Forces et limites de l'étude</w:t>
      </w:r>
    </w:p>
    <w:p>
      <w:pPr>
        <w:spacing w:after="14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 4.2.6)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140"/>
        <w:jc w:val="both"/>
      </w:pPr>
      <w:r>
        <w:rPr>
          <w:i w:val="false"/>
          <w:iCs w:val="false"/>
          <w:sz w:val="22"/>
          <w:szCs w:val="22"/>
        </w:rPr>
        <w:t xml:space="preserve">Limites. Les résultats portent sur des pratiques déclarées et des représentations professionnelles ; le point de vue des femmes reste hors champ. Les entretiens n'ayant pas été enregistrés, les extraits sont des propos notés, dont la formulation exacte n'est pas garantie. L'observation est exposée à un effet de présence</w:t>
      </w:r>
      <w:r>
        <w:rPr>
          <w:sz w:val="22"/>
          <w:szCs w:val="22"/>
        </w:rPr>
        <w:t xml:space="preserve"> [91]</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l'étude, limitée à un district, ne se généralise pas, et le kappa</w:t>
      </w:r>
      <w:r>
        <w:rPr>
          <w:sz w:val="22"/>
          <w:szCs w:val="22"/>
        </w:rPr>
        <w:t xml:space="preserve"> [92]</w:t>
      </w:r>
      <w:r>
        <w:rPr>
          <w:i w:val="false"/>
          <w:iCs w:val="false"/>
          <w:sz w:val="22"/>
          <w:szCs w:val="22"/>
        </w:rPr>
        <w:t xml:space="preserve">, calculé par paragraphe, est favorisé par les paragraphes qu'aucun codeur ne code : il atteste la cohérence de la grille, non la justesse de l'interprétation.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National Institute of Statistics of Rwanda, Ministry of Health, ICF. Rwanda Demographic and Health Survey 2025: indicateurs de soins prénatals [Internet]. Rockville (MD): The DHS Program, ICF; 2026 [cité le 2 oct 2026]. Disponible sur: https://api.dhsprogram.com</w:t>
      </w:r>
    </w:p>
    <w:p>
      <w:pPr>
        <w:spacing w:after="80"/>
        <w:ind w:left="567" w:hanging="567"/>
      </w:pPr>
      <w:r>
        <w:rPr>
          <w:sz w:val="20"/>
          <w:szCs w:val="20"/>
        </w:rPr>
        <w:t xml:space="preserve">74.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spacing w:after="80"/>
        <w:ind w:left="567" w:hanging="567"/>
      </w:pPr>
      <w:r>
        <w:rPr>
          <w:sz w:val="20"/>
          <w:szCs w:val="20"/>
        </w:rPr>
        <w:t xml:space="preserve">75.	Rwanda Biomedical Centre, Ministry of Health. National antenatal care guidelines. Kigali: RBC; 2021. Disponible sur: https://rbc.gov.rw/MCCH/wp-content/uploads/2025/02/ANC-guideline_-final-Edited-4-February-2021-1-1.pdf</w:t>
      </w:r>
    </w:p>
    <w:p>
      <w:pPr>
        <w:spacing w:after="80"/>
        <w:ind w:left="567" w:hanging="567"/>
      </w:pPr>
      <w:r>
        <w:rPr>
          <w:sz w:val="20"/>
          <w:szCs w:val="20"/>
        </w:rPr>
        <w:t xml:space="preserve">76.	Nshimiyumuremyi E, Nigatu BK, Amberbir A, Gilson GJ, Manzi S, Nkubito V, et al. Maternal, fetal and neonatal adverse outcomes associated with gestational diabetes: a prospective cohort study at King Faisal Hospital, Kigali. BMJ Open. 2025;15(8):e098248. doi:10.1136/bmjopen-2024-098248</w:t>
      </w:r>
    </w:p>
    <w:p>
      <w:pPr>
        <w:spacing w:after="80"/>
        <w:ind w:left="567" w:hanging="567"/>
      </w:pPr>
      <w:r>
        <w:rPr>
          <w:sz w:val="20"/>
          <w:szCs w:val="20"/>
        </w:rPr>
        <w:t xml:space="preserve">77.	Tudor Hart J. The inverse care law. Lancet. 1971;1(7696):405-12.</w:t>
      </w:r>
    </w:p>
    <w:p>
      <w:pPr>
        <w:spacing w:after="80"/>
        <w:ind w:left="567" w:hanging="567"/>
      </w:pPr>
      <w:r>
        <w:rPr>
          <w:sz w:val="20"/>
          <w:szCs w:val="20"/>
        </w:rPr>
        <w:t xml:space="preserve">78.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79.	Lipsky M. Street-level bureaucracy: dilemmas of the individual in public services. New York: Russell Sage Foundation; 1980.</w:t>
      </w:r>
    </w:p>
    <w:p>
      <w:pPr>
        <w:spacing w:after="80"/>
        <w:ind w:left="567" w:hanging="567"/>
      </w:pPr>
      <w:r>
        <w:rPr>
          <w:sz w:val="20"/>
          <w:szCs w:val="20"/>
        </w:rPr>
        <w:t xml:space="preserve">80.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81.	Marmot M, Allen J, Goldblatt P, Boyce T, McNeish D, Grady M, et al. Fair society, healthy lives: the Marmot Review. London: The Marmot Review; 2010.</w:t>
      </w:r>
    </w:p>
    <w:p>
      <w:pPr>
        <w:spacing w:after="80"/>
        <w:ind w:left="567" w:hanging="567"/>
      </w:pPr>
      <w:r>
        <w:rPr>
          <w:sz w:val="20"/>
          <w:szCs w:val="20"/>
        </w:rPr>
        <w:t xml:space="preserve">82.	Uwiringiyimana E, Manirambona E, Byiringiro S, Nsanzimana A, Uhawenayo N, Ufitinema P, et al. Pregnant women's knowledge of obstetrical danger signs: a cross-sectional survey in Kigali, Rwanda. PLOS Glob Public Health. 2022;2(11):e0001084. doi:10.1371/journal.pgph.0001084</w:t>
      </w:r>
    </w:p>
    <w:p>
      <w:pPr>
        <w:spacing w:after="80"/>
        <w:ind w:left="567" w:hanging="567"/>
      </w:pPr>
      <w:r>
        <w:rPr>
          <w:sz w:val="20"/>
          <w:szCs w:val="20"/>
        </w:rPr>
        <w:t xml:space="preserve">83.	Campbell DT. Assessing the impact of planned social change. Eval Program Plann. 1979;2(1):67-90.</w:t>
      </w:r>
    </w:p>
    <w:p>
      <w:pPr>
        <w:spacing w:after="80"/>
        <w:ind w:left="567" w:hanging="567"/>
      </w:pPr>
      <w:r>
        <w:rPr>
          <w:sz w:val="20"/>
          <w:szCs w:val="20"/>
        </w:rPr>
        <w:t xml:space="preserve">84.	Basinga P, Gertler PJ, Binagwaho A, Soucat AL, Sturdy J, Vermeersch CM. Effect on maternal and child health services in Rwanda of payment to primary health-care providers for performance: an impact evaluation. Lancet. 2011;377(9775):1421-8. doi:10.1016/S0140-6736(11)60177-3</w:t>
      </w:r>
    </w:p>
    <w:p>
      <w:pPr>
        <w:spacing w:after="80"/>
        <w:ind w:left="567" w:hanging="567"/>
      </w:pPr>
      <w:r>
        <w:rPr>
          <w:sz w:val="20"/>
          <w:szCs w:val="20"/>
        </w:rPr>
        <w:t xml:space="preserve">85.	Condo J, Mugeni C, Naughton B, Hall K, Tuazon MA, Omwega A, et al. Rwanda's evolving community health worker system: a qualitative assessment of client and provider perspectives. Hum Resour Health. 2014;12:71. doi:10.1186/1478-4491-12-71</w:t>
      </w:r>
    </w:p>
    <w:p>
      <w:pPr>
        <w:spacing w:after="80"/>
        <w:ind w:left="567" w:hanging="567"/>
      </w:pPr>
      <w:r>
        <w:rPr>
          <w:sz w:val="20"/>
          <w:szCs w:val="20"/>
        </w:rPr>
        <w:t xml:space="preserve">86.	Rulisa S, Ntihinyurwa P, Ntirushwa D, Wong A, Olufolabi A. Causes of maternal mortality in Rwanda, 2017-2019. Obstet Gynecol. 2021;138(4):552-6. doi:10.1097/AOG.0000000000004534</w:t>
      </w:r>
    </w:p>
    <w:p>
      <w:pPr>
        <w:spacing w:after="80"/>
        <w:ind w:left="567" w:hanging="567"/>
      </w:pPr>
      <w:r>
        <w:rPr>
          <w:sz w:val="20"/>
          <w:szCs w:val="20"/>
        </w:rPr>
        <w:t xml:space="preserve">87.	Rwanda Biomedical Centre. Shisha Kibondo : farine enrichie pour les femmes enceintes et allaitantes des ménages vulnérables [Internet]. Kigali: RBC; [cité le 3 oct 2026]. Disponible sur: https://rbc.gov.rw/wp/?p=7362</w:t>
      </w:r>
    </w:p>
    <w:p>
      <w:pPr>
        <w:spacing w:after="80"/>
        <w:ind w:left="567" w:hanging="567"/>
      </w:pPr>
      <w:r>
        <w:rPr>
          <w:sz w:val="20"/>
          <w:szCs w:val="20"/>
        </w:rPr>
        <w:t xml:space="preserve">88.	Ngabo F, Nguimfack J, Nwaigwe F, Mugeni C, Muhoza D, Wilson DR, et al. Designing and implementing an innovative SMS-based alert system (RapidSMS-MCH) to monitor pregnancy and reduce maternal and child deaths in Rwanda. Pan Afr Med J. 2012;13:31.</w:t>
      </w:r>
    </w:p>
    <w:p>
      <w:pPr>
        <w:spacing w:after="80"/>
        <w:ind w:left="567" w:hanging="567"/>
      </w:pPr>
      <w:r>
        <w:rPr>
          <w:sz w:val="20"/>
          <w:szCs w:val="20"/>
        </w:rPr>
        <w:t xml:space="preserve">89.	Enabel, Be-cause health. Rwanda NCD mass campaign: results and lessons [Internet]. Bruxelles: Be-cause health; 2019 [cité le 3 oct 2026]. Disponible sur: https://www.be-causehealth.be/wp-content/uploads/2019/11/20191016-Rwanda-NCD-Mass-Campaign-results-lessons.pdf</w:t>
      </w:r>
    </w:p>
    <w:p>
      <w:pPr>
        <w:spacing w:after="80"/>
        <w:ind w:left="567" w:hanging="567"/>
      </w:pPr>
      <w:r>
        <w:rPr>
          <w:sz w:val="20"/>
          <w:szCs w:val="20"/>
        </w:rPr>
        <w:t xml:space="preserve">90.	Nsanzabera F, Irakoze E, Manishimwe A, Nsengiyumva JB, Mwiseneza A, Ntakirutimana E, et al. Improving early childhood nutrition practices through parents' evening forums in rural Rwanda. Public Health Nutr. 2025;28(1):e136. doi:10.1017/S1368980025100803</w:t>
      </w:r>
    </w:p>
    <w:p>
      <w:pPr>
        <w:spacing w:after="80"/>
        <w:ind w:left="567" w:hanging="567"/>
      </w:pPr>
      <w:r>
        <w:rPr>
          <w:sz w:val="20"/>
          <w:szCs w:val="20"/>
        </w:rPr>
        <w:t xml:space="preserve">91.	McCambridge J, Witton J, Elbourne DR. Systematic review of the Hawthorne effect: new concepts are needed to study research participation effects. J Clin Epidemiol. 2014;67(3):267-77.</w:t>
      </w:r>
    </w:p>
    <w:p>
      <w:pPr>
        <w:spacing w:after="80"/>
        <w:ind w:left="567" w:hanging="567"/>
      </w:pPr>
      <w:r>
        <w:rPr>
          <w:sz w:val="20"/>
          <w:szCs w:val="20"/>
        </w:rPr>
        <w:t xml:space="preserve">92.	Landis JR, Koch GG. The measurement of observer agreement for categorical data. Biometrics. 1977;33(1):159-74.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2d8e22b70f07680fff21642fd98b23064b1a39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2026-10-03T02:59:44.905Z</dcterms:created>
  <dcterms:modified xsi:type="dcterms:W3CDTF">2026-10-03T02:59:44.906Z</dcterms:modified>
</cp:coreProperties>
</file>

<file path=docProps/custom.xml><?xml version="1.0" encoding="utf-8"?>
<Properties xmlns="http://schemas.openxmlformats.org/officeDocument/2006/custom-properties" xmlns:vt="http://schemas.openxmlformats.org/officeDocument/2006/docPropsVTypes"/>
</file>