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80"/>
      </w:pPr>
      <w:r>
        <w:t xml:space="preserve">LISTE DE CONTRÔLE AVANT DÉPÔT</w:t>
      </w:r>
    </w:p>
    <w:p>
      <w:pPr>
        <w:spacing w:after="140"/>
        <w:jc w:val="both"/>
      </w:pPr>
      <w:r>
        <w:rPr>
          <w:i w:val="false"/>
          <w:iCs w:val="false"/>
          <w:sz w:val="22"/>
          <w:szCs w:val="22"/>
        </w:rPr>
        <w:t xml:space="preserve">Version d'entraînement : les entretiens, observations et données de routine sont fictifs. Avant le dépôt, le mémoire est réécrit à partir des données recueillies sur le terrain (dossier kit-donnees-reelles), puis cette liste est parcourue point par point.</w:t>
      </w:r>
    </w:p>
    <w:p>
      <w:pPr>
        <w:pStyle w:val="Heading2"/>
        <w:spacing w:after="120" w:before="220"/>
      </w:pPr>
      <w:r>
        <w:t xml:space="preserve">Ce qui reste à compléter</w:t>
      </w:r>
    </w:p>
    <w:p>
      <w:pPr>
        <w:pStyle w:val="ListParagraph"/>
        <w:numPr>
          <w:ilvl w:val="0"/>
          <w:numId w:val="1"/>
        </w:numPr>
        <w:spacing w:after="80"/>
      </w:pPr>
      <w:r>
        <w:rPr>
          <w:sz w:val="22"/>
          <w:szCs w:val="22"/>
        </w:rPr>
        <w:t xml:space="preserve">Liste du personnel de l'École : à recopier depuis la liste officielle de l'ENATSE de l'année du dépôt.</w:t>
      </w:r>
    </w:p>
    <w:p>
      <w:pPr>
        <w:pStyle w:val="ListParagraph"/>
        <w:numPr>
          <w:ilvl w:val="0"/>
          <w:numId w:val="1"/>
        </w:numPr>
        <w:spacing w:after="80"/>
      </w:pPr>
      <w:r>
        <w:rPr>
          <w:sz w:val="22"/>
          <w:szCs w:val="22"/>
        </w:rPr>
        <w:t xml:space="preserve">Dédicace, et hommages aux membres du jury : à écrire soi-même ; les noms du jury ne sont connus qu'après sa désignation.</w:t>
      </w:r>
    </w:p>
    <w:p>
      <w:pPr>
        <w:pStyle w:val="ListParagraph"/>
        <w:numPr>
          <w:ilvl w:val="0"/>
          <w:numId w:val="1"/>
        </w:numPr>
        <w:spacing w:after="80"/>
      </w:pPr>
      <w:r>
        <w:rPr>
          <w:sz w:val="22"/>
          <w:szCs w:val="22"/>
        </w:rPr>
        <w:t xml:space="preserve">Annexe 6 et § 4.2.7 : numéros et dates de l'approbation du comité d'éthique et de l'autorisation du district — jamais inventés, recopiés des documents reçus.</w:t>
      </w:r>
    </w:p>
    <w:p>
      <w:pPr>
        <w:pStyle w:val="ListParagraph"/>
        <w:numPr>
          <w:ilvl w:val="0"/>
          <w:numId w:val="1"/>
        </w:numPr>
        <w:spacing w:after="80"/>
      </w:pPr>
      <w:r>
        <w:rPr>
          <w:sz w:val="22"/>
          <w:szCs w:val="22"/>
        </w:rPr>
        <w:t xml:space="preserve">Annexe 5 : versions kinyarwanda et anglaise des outils issues de la traduction et de la rétro-traduction.</w:t>
      </w:r>
    </w:p>
    <w:p>
      <w:pPr>
        <w:pStyle w:val="ListParagraph"/>
        <w:numPr>
          <w:ilvl w:val="0"/>
          <w:numId w:val="1"/>
        </w:numPr>
        <w:spacing w:after="80"/>
      </w:pPr>
      <w:r>
        <w:rPr>
          <w:sz w:val="22"/>
          <w:szCs w:val="22"/>
        </w:rPr>
        <w:t xml:space="preserve">Note de positionnalité : la question laissée entre crochets (exercice antérieur dans le district de Ngoma).</w:t>
      </w:r>
    </w:p>
    <w:p>
      <w:pPr>
        <w:pStyle w:val="ListParagraph"/>
        <w:numPr>
          <w:ilvl w:val="0"/>
          <w:numId w:val="1"/>
        </w:numPr>
        <w:spacing w:after="80"/>
      </w:pPr>
      <w:r>
        <w:rPr>
          <w:sz w:val="22"/>
          <w:szCs w:val="22"/>
        </w:rPr>
        <w:t xml:space="preserve">Extraits d'entretien : le protocole prévoit leur reproduction dans les deux langues (langue source et traduction). Dans l'exercice, seule la traduction française figure ; avec les données réelles, ajouter la version source de chaque extrait.</w:t>
      </w:r>
    </w:p>
    <w:p>
      <w:pPr>
        <w:pStyle w:val="Heading2"/>
        <w:spacing w:after="120" w:before="220"/>
      </w:pPr>
      <w:r>
        <w:t xml:space="preserve">Ce qui reste à vérifier</w:t>
      </w:r>
    </w:p>
    <w:p>
      <w:pPr>
        <w:pStyle w:val="ListParagraph"/>
        <w:numPr>
          <w:ilvl w:val="0"/>
          <w:numId w:val="1"/>
        </w:numPr>
        <w:spacing w:after="80"/>
      </w:pPr>
      <w:r>
        <w:rPr>
          <w:sz w:val="22"/>
          <w:szCs w:val="22"/>
        </w:rPr>
        <w:t xml:space="preserve">Figure 2 (carte du district de Ngoma) : la source n'est pas indiquée dans le protocole ; l'ajouter sous la figure.</w:t>
      </w:r>
    </w:p>
    <w:p>
      <w:pPr>
        <w:pStyle w:val="ListParagraph"/>
        <w:numPr>
          <w:ilvl w:val="0"/>
          <w:numId w:val="1"/>
        </w:numPr>
        <w:spacing w:after="80"/>
      </w:pPr>
      <w:r>
        <w:rPr>
          <w:sz w:val="22"/>
          <w:szCs w:val="22"/>
        </w:rPr>
        <w:t xml:space="preserve">Annexe 1 (guide d'entretien) : la numérotation passe de la section 5 à la section 7 dans le protocole ; corriger ou expliquer.</w:t>
      </w:r>
    </w:p>
    <w:p>
      <w:pPr>
        <w:pStyle w:val="ListParagraph"/>
        <w:numPr>
          <w:ilvl w:val="0"/>
          <w:numId w:val="1"/>
        </w:numPr>
        <w:spacing w:after="80"/>
      </w:pPr>
      <w:r>
        <w:rPr>
          <w:sz w:val="22"/>
          <w:szCs w:val="22"/>
        </w:rPr>
        <w:t xml:space="preserve">Protocole : passer de seize à quinze centres (§ 4.2.2.2 et § 4.2.3.2) et préciser que le pré-test a lieu dans le seizième centre, exclu de l'échantillon — déjà fait dans le mémoire, à reporter dans le protocole.</w:t>
      </w:r>
    </w:p>
    <w:p>
      <w:pPr>
        <w:pStyle w:val="ListParagraph"/>
        <w:numPr>
          <w:ilvl w:val="0"/>
          <w:numId w:val="1"/>
        </w:numPr>
        <w:spacing w:after="80"/>
      </w:pPr>
      <w:r>
        <w:rPr>
          <w:sz w:val="22"/>
          <w:szCs w:val="22"/>
        </w:rPr>
        <w:t xml:space="preserve">Glycémie à la première CPN pour toutes : appuyée sur Schmidt et al. (2021, texte intégral : le diabète fait partie des affections recherchées chez toutes à la première CPN et cochées au registre de maternité) ; absence de dépistage à 24-28 semaines : appuyée sur le protocole de 2012 cité par Meharry (2019). Confirmer dans les directives nationales de CPN (RBC, 2021) le contenu exact du bilan de la première CPN avant de l'écrire comme un fait dans le mémoire réel.</w:t>
      </w:r>
    </w:p>
    <w:p>
      <w:pPr>
        <w:pStyle w:val="ListParagraph"/>
        <w:numPr>
          <w:ilvl w:val="0"/>
          <w:numId w:val="1"/>
        </w:numPr>
        <w:spacing w:after="80"/>
      </w:pPr>
      <w:r>
        <w:rPr>
          <w:sz w:val="22"/>
          <w:szCs w:val="22"/>
        </w:rPr>
        <w:t xml:space="preserve">Mise en forme appliquée (Times New Roman 14, interligne 1,5, marges de 2,5 cm et 3 cm à gauche ; annexes, listes et références en 12 pt à interligne simple) : à confronter au document des règles de rédaction de l'ENATSE.</w:t>
      </w:r>
    </w:p>
    <w:p>
      <w:pPr>
        <w:pStyle w:val="ListParagraph"/>
        <w:numPr>
          <w:ilvl w:val="0"/>
          <w:numId w:val="1"/>
        </w:numPr>
        <w:spacing w:after="80"/>
      </w:pPr>
      <w:r>
        <w:rPr>
          <w:sz w:val="22"/>
          <w:szCs w:val="22"/>
        </w:rPr>
        <w:t xml:space="preserve">Limite de 70 pages : le mémoire en compte 70, de la page de garde à l'abstract, annexes comprises, mesurées avec l'interligne 1,5 réel. Pour y tenir, 31 paragraphes des chapitres 1 à 4 du protocole ne sont pas repris (liste CONDENSATION dans faire-memoire.mjs), les méthodes telles que conduites (§ 4.2.5 à 4.2.7) sont résumées et le tableau de cohérence (annexe 8 du protocole) n'est pas reproduit : à valider avec la direction de mémoire.</w:t>
      </w:r>
    </w:p>
    <w:p>
      <w:pPr>
        <w:pStyle w:val="ListParagraph"/>
        <w:numPr>
          <w:ilvl w:val="0"/>
          <w:numId w:val="1"/>
        </w:numPr>
        <w:spacing w:after="80"/>
      </w:pPr>
      <w:r>
        <w:rPr>
          <w:sz w:val="22"/>
          <w:szCs w:val="22"/>
        </w:rPr>
        <w:t xml:space="preserve">Entretiens sans enregistrement audio : le § 4.2.6 du mémoire décrit la prise de notes ; les annexes du protocole reprises dans le mémoire (guide d'entretien, formulaire de consentement avec la case « enregistrement audio », engagement de confidentialité du transcripteur) restent à adapter, ainsi que le mémo QualiCode sur la fidélité des transcriptions.</w:t>
      </w:r>
    </w:p>
    <w:p>
      <w:pPr>
        <w:pStyle w:val="ListParagraph"/>
        <w:numPr>
          <w:ilvl w:val="0"/>
          <w:numId w:val="1"/>
        </w:numPr>
        <w:spacing w:after="80"/>
      </w:pPr>
      <w:r>
        <w:rPr>
          <w:sz w:val="22"/>
          <w:szCs w:val="22"/>
        </w:rPr>
        <w:t xml:space="preserve">Rubrique « Séance d'éducation collective » ajoutée à la grille d'observation (annexe 2) : écart au protocole à faire valider ; la fréquence de deux à trois séances par semaine vient de l'information de terrain de l'auteur et sera documentée par l'observation réelle.</w:t>
      </w:r>
    </w:p>
    <w:p>
      <w:pPr>
        <w:pStyle w:val="ListParagraph"/>
        <w:numPr>
          <w:ilvl w:val="0"/>
          <w:numId w:val="1"/>
        </w:numPr>
        <w:spacing w:after="80"/>
      </w:pPr>
      <w:r>
        <w:rPr>
          <w:sz w:val="22"/>
          <w:szCs w:val="22"/>
        </w:rPr>
        <w:t xml:space="preserve">Référence Shisha Kibondo (Rwanda Biomedical Centre) : titre exact de la page à vérifier ; catégories ubudehe réformées en 2020 : vérifier les montants de prime en vigueur avant de les citer.</w:t>
      </w:r>
    </w:p>
    <w:p>
      <w:pPr>
        <w:pStyle w:val="ListParagraph"/>
        <w:numPr>
          <w:ilvl w:val="0"/>
          <w:numId w:val="1"/>
        </w:numPr>
        <w:spacing w:after="80"/>
      </w:pPr>
      <w:r>
        <w:rPr>
          <w:sz w:val="22"/>
          <w:szCs w:val="22"/>
        </w:rPr>
        <w:t xml:space="preserve">Références 72 à 92, ajoutées pendant la rédaction : les articles indexés ont été vérifiés dans PubMed le 2 octobre 2026 (auteurs, revue, volume, pages, DOI) ; restent à vérifier sur pièce les ouvrages et rapports (Lipsky, Marmot, directives du RBC de 2021) et le rapport final de l'EDS 2025, dont les chiffres ont été relevés par l'API du programme DHS. Une affirmation antérieure attribuée à Rurangirwa et al. (2018), absente de l'article, a été retirée.</w:t>
      </w:r>
    </w:p>
    <w:p>
      <w:pPr>
        <w:pStyle w:val="ListParagraph"/>
        <w:numPr>
          <w:ilvl w:val="0"/>
          <w:numId w:val="1"/>
        </w:numPr>
        <w:spacing w:after="80"/>
      </w:pPr>
      <w:r>
        <w:rPr>
          <w:sz w:val="22"/>
          <w:szCs w:val="22"/>
        </w:rPr>
        <w:t xml:space="preserve">Nombre de centres de santé du district : le protocole en compte seize ; une étude de 2015 en recensait douze, et l'annuaire statistique du Ministère de la Santé 2023-2024 compte 44 formations sanitaires dans le district, postes de santé compris. Confirmer la liste actuelle auprès de la direction de la santé du district avant la collecte.</w:t>
      </w:r>
    </w:p>
    <w:p>
      <w:pPr>
        <w:pStyle w:val="ListParagraph"/>
        <w:numPr>
          <w:ilvl w:val="0"/>
          <w:numId w:val="1"/>
        </w:numPr>
        <w:spacing w:after="80"/>
      </w:pPr>
      <w:r>
        <w:rPr>
          <w:sz w:val="22"/>
          <w:szCs w:val="22"/>
        </w:rPr>
        <w:t xml:space="preserve">Annexe 9 : le tableau des repères réels cite le Health Labour Market Analysis Report du Ministère de la Santé pour la norme de 21 agents par centre ; en compléter l'année et la référence exacte.</w:t>
      </w:r>
    </w:p>
    <w:p>
      <w:pPr>
        <w:pStyle w:val="ListParagraph"/>
        <w:numPr>
          <w:ilvl w:val="0"/>
          <w:numId w:val="1"/>
        </w:numPr>
        <w:spacing w:after="80"/>
      </w:pPr>
      <w:r>
        <w:rPr>
          <w:sz w:val="22"/>
          <w:szCs w:val="22"/>
        </w:rPr>
        <w:t xml:space="preserve">Chiffres nationaux cités dans la discussion (STEPS 2022 [16] : 87,0 % des femmes jamais testées pour la glycémie, 38 % jamais pour la tension ; Meharry 2019 [27] : protocole national de 2012 et prévalence de 3,2 %) : relevés dans les résumés publiés ; les confirmer dans le texte intégral.</w:t>
      </w:r>
    </w:p>
    <w:p>
      <w:pPr>
        <w:pStyle w:val="ListParagraph"/>
        <w:numPr>
          <w:ilvl w:val="0"/>
          <w:numId w:val="1"/>
        </w:numPr>
        <w:spacing w:after="80"/>
      </w:pPr>
      <w:r>
        <w:rPr>
          <w:sz w:val="22"/>
          <w:szCs w:val="22"/>
        </w:rPr>
        <w:t xml:space="preserve">Objectif spécifique 1 du protocole : « information capacitances » est une coquille pour « information capacitante » (corrigée dans le rapport et le mémoire, à corriger dans le protocole).</w:t>
      </w:r>
    </w:p>
    <w:p>
      <w:pPr>
        <w:pStyle w:val="ListParagraph"/>
        <w:numPr>
          <w:ilvl w:val="0"/>
          <w:numId w:val="1"/>
        </w:numPr>
        <w:spacing w:after="80"/>
      </w:pPr>
      <w:r>
        <w:rPr>
          <w:sz w:val="22"/>
          <w:szCs w:val="22"/>
        </w:rPr>
        <w:t xml:space="preserve">Figure 3 (cadre conceptuel révisé) : proposition issue des résultats de l'entraînement ; avec les données réelles, le cadre révisé sera à reconstruire à partir des codes inductifs réels.</w:t>
      </w:r>
    </w:p>
    <w:p>
      <w:pPr>
        <w:pStyle w:val="ListParagraph"/>
        <w:numPr>
          <w:ilvl w:val="0"/>
          <w:numId w:val="1"/>
        </w:numPr>
        <w:spacing w:after="80"/>
      </w:pPr>
      <w:r>
        <w:rPr>
          <w:sz w:val="22"/>
          <w:szCs w:val="22"/>
        </w:rPr>
        <w:t xml:space="preserve">Écart au protocole (QualiCode au lieu de NVivo, § 4.2.6) : à faire valider par la direction de mémoire.</w:t>
      </w:r>
    </w:p>
    <w:p>
      <w:pPr>
        <w:pStyle w:val="ListParagraph"/>
        <w:numPr>
          <w:ilvl w:val="0"/>
          <w:numId w:val="1"/>
        </w:numPr>
        <w:spacing w:after="80"/>
      </w:pPr>
      <w:r>
        <w:rPr>
          <w:sz w:val="22"/>
          <w:szCs w:val="22"/>
        </w:rPr>
        <w:t xml:space="preserve">Sommaire et table des matières : déjà remplis dans le fichier livré ; après toute modification, les mettre à jour dans Word (clic droit → Mettre à jour les champs).</w:t>
      </w:r>
    </w:p>
    <w:sectPr>
      <w:pgSz w:w="11906" w:h="16838" w:orient="portrait"/>
      <w:pgMar w:top="1418" w:right="1418" w:bottom="1418" w:left="1701" w:header="709" w:footer="709"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after="120" w:line="360" w:lineRule="auto"/>
        <w:jc w:val="both"/>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360" w:line="360" w:lineRule="auto"/>
      <w:jc w:val="left"/>
      <w:outlineLvl w:val="0"/>
    </w:pPr>
    <w:rPr>
      <w:rFonts w:ascii="Times New Roman" w:cs="Times New Roman" w:eastAsia="Times New Roman" w:hAnsi="Times New Roman"/>
      <w:b/>
      <w:bCs/>
      <w:i w:val="false"/>
      <w:iCs w:val="false"/>
      <w:color w:val="000000"/>
      <w:sz w:val="28"/>
      <w:szCs w:val="28"/>
    </w:rPr>
  </w:style>
  <w:style w:type="paragraph" w:styleId="Heading2">
    <w:name w:val="Heading 2"/>
    <w:basedOn w:val="Normal"/>
    <w:next w:val="Normal"/>
    <w:qFormat/>
    <w:pPr>
      <w:keepNext/>
      <w:keepLines/>
      <w:spacing w:after="120" w:before="240" w:line="360" w:lineRule="auto"/>
      <w:jc w:val="left"/>
      <w:outlineLvl w:val="1"/>
    </w:pPr>
    <w:rPr>
      <w:rFonts w:ascii="Times New Roman" w:cs="Times New Roman" w:eastAsia="Times New Roman" w:hAnsi="Times New Roman"/>
      <w:b/>
      <w:bCs/>
      <w:i w:val="false"/>
      <w:iCs w:val="false"/>
      <w:color w:val="000000"/>
      <w:sz w:val="28"/>
      <w:szCs w:val="28"/>
    </w:rPr>
  </w:style>
  <w:style w:type="paragraph" w:styleId="Heading3">
    <w:name w:val="Heading 3"/>
    <w:basedOn w:val="Normal"/>
    <w:next w:val="Normal"/>
    <w:qFormat/>
    <w:pPr>
      <w:keepNext/>
      <w:keepLines/>
      <w:spacing w:after="120" w:before="180" w:line="360" w:lineRule="auto"/>
      <w:jc w:val="left"/>
      <w:outlineLvl w:val="2"/>
    </w:pPr>
    <w:rPr>
      <w:rFonts w:ascii="Times New Roman" w:cs="Times New Roman" w:eastAsia="Times New Roman" w:hAnsi="Times New Roman"/>
      <w:b/>
      <w:bCs/>
      <w:i/>
      <w:iCs/>
      <w:color w:val="000000"/>
      <w:sz w:val="28"/>
      <w:szCs w:val="28"/>
    </w:rPr>
  </w:style>
  <w:style w:type="paragraph" w:styleId="Compact">
    <w:name w:val="Texte compact"/>
    <w:basedOn w:val="Normal"/>
    <w:next w:val="Compact"/>
    <w:qFormat/>
    <w:pPr>
      <w:spacing w:after="80" w:line="240" w:lineRule="auto"/>
    </w:pPr>
    <w:rPr>
      <w:rFonts w:ascii="Times New Roman" w:cs="Times New Roman" w:eastAsia="Times New Roman" w:hAnsi="Times New Roman"/>
      <w:sz w:val="22"/>
      <w:szCs w:val="22"/>
    </w:rPr>
  </w:style>
  <w:style w:type="paragraph" w:styleId="CompactTitre">
    <w:name w:val="Titre compact"/>
    <w:basedOn w:val="Compact"/>
    <w:next w:val="Compact"/>
    <w:qFormat/>
    <w:pPr>
      <w:keepNext/>
      <w:spacing w:after="80" w:before="160"/>
      <w:jc w:val="left"/>
    </w:pPr>
    <w:rPr>
      <w:b/>
      <w:bCs/>
    </w:rPr>
  </w:style>
  <w:style w:type="paragraph" w:styleId="Bibliographie">
    <w:name w:val="Bibliographie"/>
    <w:basedOn w:val="Normal"/>
    <w:next w:val="Bibliographie"/>
    <w:qFormat/>
    <w:pPr>
      <w:spacing w:after="20" w:line="240" w:lineRule="auto"/>
      <w:ind w:left="567" w:hanging="567"/>
      <w:jc w:val="left"/>
    </w:pPr>
    <w:rPr>
      <w:rFonts w:ascii="Times New Roman" w:cs="Times New Roman" w:eastAsia="Times New Roman" w:hAnsi="Times New Roman"/>
      <w:sz w:val="24"/>
      <w:szCs w:val="24"/>
    </w:rPr>
  </w:style>
  <w:style w:type="paragraph" w:styleId="TOC1">
    <w:name w:val="toc 1"/>
    <w:basedOn w:val="Normal"/>
    <w:next w:val="Normal"/>
    <w:pPr>
      <w:spacing w:after="0" w:line="240" w:lineRule="auto"/>
      <w:ind w:left="0"/>
      <w:jc w:val="left"/>
    </w:pPr>
    <w:rPr>
      <w:rFonts w:ascii="Times New Roman" w:cs="Times New Roman" w:eastAsia="Times New Roman" w:hAnsi="Times New Roman"/>
      <w:sz w:val="24"/>
      <w:szCs w:val="24"/>
    </w:rPr>
  </w:style>
  <w:style w:type="paragraph" w:styleId="TOC2">
    <w:name w:val="toc 2"/>
    <w:basedOn w:val="Normal"/>
    <w:next w:val="Normal"/>
    <w:pPr>
      <w:spacing w:after="0" w:line="240" w:lineRule="auto"/>
      <w:ind w:left="240"/>
      <w:jc w:val="left"/>
    </w:pPr>
    <w:rPr>
      <w:rFonts w:ascii="Times New Roman" w:cs="Times New Roman" w:eastAsia="Times New Roman" w:hAnsi="Times New Roman"/>
      <w:sz w:val="24"/>
      <w:szCs w:val="24"/>
    </w:rPr>
  </w:style>
  <w:style w:type="paragraph" w:styleId="TOC3">
    <w:name w:val="toc 3"/>
    <w:basedOn w:val="Normal"/>
    <w:next w:val="Normal"/>
    <w:pPr>
      <w:spacing w:after="0" w:line="240" w:lineRule="auto"/>
      <w:ind w:left="480"/>
      <w:jc w:val="left"/>
    </w:pPr>
    <w:rPr>
      <w:rFonts w:ascii="Times New Roman" w:cs="Times New Roman" w:eastAsia="Times New Roman" w:hAnsi="Times New Roman"/>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2026-10-03T03:01:54.963Z</dcterms:created>
  <dcterms:modified xsi:type="dcterms:W3CDTF">2026-10-03T03:01:54.963Z</dcterms:modified>
</cp:coreProperties>
</file>

<file path=docProps/custom.xml><?xml version="1.0" encoding="utf-8"?>
<Properties xmlns="http://schemas.openxmlformats.org/officeDocument/2006/custom-properties" xmlns:vt="http://schemas.openxmlformats.org/officeDocument/2006/docPropsVTypes"/>
</file>